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4F9CEB" w14:textId="77777777" w:rsidR="00D84211" w:rsidRDefault="00D84211" w:rsidP="00103E99">
      <w:pPr>
        <w:pStyle w:val="AvoerJudul"/>
      </w:pPr>
    </w:p>
    <w:p w14:paraId="03D7BA19" w14:textId="23B5B0A3" w:rsidR="00B22A97" w:rsidRPr="00B22A97" w:rsidRDefault="00B22A97" w:rsidP="00B22A97">
      <w:pPr>
        <w:pStyle w:val="AvoerJudul"/>
        <w:rPr>
          <w:lang w:val="id"/>
        </w:rPr>
      </w:pPr>
      <w:r w:rsidRPr="00B22A97">
        <w:rPr>
          <w:lang w:val="en"/>
        </w:rPr>
        <w:t>KONVERSI MINYAK SAWIT, MINYAK JAGUNG DAN MINYAK BIJI BUNGA MATAHARI SEBAGAI ALTERNATIF PLASTICIZER MELALUI PROSES DEKARBOKSILASI</w:t>
      </w:r>
    </w:p>
    <w:p w14:paraId="421DA2D5" w14:textId="665B57D9" w:rsidR="00B741D7" w:rsidRPr="007844FE" w:rsidRDefault="00B741D7" w:rsidP="00B741D7">
      <w:pPr>
        <w:pStyle w:val="AvoerAuthor"/>
        <w:spacing w:after="0"/>
      </w:pPr>
      <w:r>
        <w:t>Santoso B</w:t>
      </w:r>
      <w:r w:rsidRPr="00B741D7">
        <w:rPr>
          <w:vertAlign w:val="superscript"/>
        </w:rPr>
        <w:t>1</w:t>
      </w:r>
      <w:r w:rsidR="00A232D9" w:rsidRPr="00781BFF">
        <w:t xml:space="preserve">, </w:t>
      </w:r>
      <w:r w:rsidR="00B22A97">
        <w:t>Bondan A</w:t>
      </w:r>
      <w:r>
        <w:t>.T</w:t>
      </w:r>
      <w:r w:rsidR="00B22A97">
        <w:rPr>
          <w:vertAlign w:val="superscript"/>
        </w:rPr>
        <w:t>2</w:t>
      </w:r>
      <w:r>
        <w:t>. A</w:t>
      </w:r>
      <w:r w:rsidR="00B22A97">
        <w:t>priani R</w:t>
      </w:r>
      <w:r w:rsidR="00B22A97">
        <w:rPr>
          <w:vertAlign w:val="superscript"/>
        </w:rPr>
        <w:t>3</w:t>
      </w:r>
      <w:r>
        <w:t xml:space="preserve">,  </w:t>
      </w:r>
      <w:r w:rsidR="00B22A97">
        <w:t xml:space="preserve">Agustriyani P </w:t>
      </w:r>
      <w:r w:rsidR="00B22A97">
        <w:rPr>
          <w:vertAlign w:val="superscript"/>
        </w:rPr>
        <w:t>4</w:t>
      </w:r>
      <w:r w:rsidRPr="00B741D7">
        <w:t xml:space="preserve"> </w:t>
      </w:r>
      <w:r>
        <w:t xml:space="preserve">, </w:t>
      </w:r>
      <w:r w:rsidR="00B22A97">
        <w:t>Aprilista, A</w:t>
      </w:r>
      <w:r w:rsidR="00B22A97">
        <w:rPr>
          <w:vertAlign w:val="superscript"/>
        </w:rPr>
        <w:t>1</w:t>
      </w:r>
      <w:r>
        <w:t xml:space="preserve">,  </w:t>
      </w:r>
      <w:r w:rsidR="00B22A97">
        <w:t>Setiawan R.O</w:t>
      </w:r>
      <w:r w:rsidR="00B22A97">
        <w:rPr>
          <w:vertAlign w:val="superscript"/>
        </w:rPr>
        <w:t>1</w:t>
      </w:r>
    </w:p>
    <w:p w14:paraId="45EC8DCD" w14:textId="109C1FE3" w:rsidR="00902FA9" w:rsidRPr="007844FE" w:rsidRDefault="00902FA9" w:rsidP="0058536C">
      <w:pPr>
        <w:pStyle w:val="AvoerAuthor"/>
      </w:pPr>
    </w:p>
    <w:p w14:paraId="1F08D894" w14:textId="4725025F" w:rsidR="00A232D9" w:rsidRPr="007844FE" w:rsidRDefault="00A232D9" w:rsidP="00EF560D">
      <w:pPr>
        <w:pStyle w:val="AvoerAffliasi"/>
        <w:rPr>
          <w:i w:val="0"/>
          <w:iCs/>
        </w:rPr>
      </w:pPr>
      <w:r w:rsidRPr="007844FE">
        <w:rPr>
          <w:i w:val="0"/>
          <w:iCs/>
          <w:vertAlign w:val="superscript"/>
        </w:rPr>
        <w:t>1</w:t>
      </w:r>
      <w:r w:rsidR="00B741D7">
        <w:rPr>
          <w:i w:val="0"/>
          <w:iCs/>
        </w:rPr>
        <w:t>Jurusan T</w:t>
      </w:r>
      <w:r w:rsidRPr="007844FE">
        <w:rPr>
          <w:i w:val="0"/>
          <w:iCs/>
        </w:rPr>
        <w:t xml:space="preserve">eknik </w:t>
      </w:r>
      <w:r w:rsidR="00B741D7">
        <w:rPr>
          <w:i w:val="0"/>
          <w:iCs/>
        </w:rPr>
        <w:t>Kimia</w:t>
      </w:r>
      <w:r w:rsidRPr="007844FE">
        <w:rPr>
          <w:i w:val="0"/>
          <w:iCs/>
        </w:rPr>
        <w:t xml:space="preserve">, </w:t>
      </w:r>
      <w:r w:rsidR="00B741D7">
        <w:rPr>
          <w:i w:val="0"/>
          <w:iCs/>
        </w:rPr>
        <w:t xml:space="preserve">Fakultas Teknik </w:t>
      </w:r>
      <w:r w:rsidRPr="007844FE">
        <w:rPr>
          <w:i w:val="0"/>
          <w:iCs/>
        </w:rPr>
        <w:t>Universitas Sriwijaya, Palembang</w:t>
      </w:r>
    </w:p>
    <w:p w14:paraId="316956D8" w14:textId="3ED65FA7" w:rsidR="00A232D9" w:rsidRDefault="00A232D9" w:rsidP="00EF560D">
      <w:pPr>
        <w:pStyle w:val="AvoerAffliasi"/>
        <w:rPr>
          <w:i w:val="0"/>
          <w:iCs/>
        </w:rPr>
      </w:pPr>
      <w:r w:rsidRPr="007844FE">
        <w:rPr>
          <w:i w:val="0"/>
          <w:iCs/>
          <w:vertAlign w:val="superscript"/>
        </w:rPr>
        <w:t>2</w:t>
      </w:r>
      <w:r w:rsidR="00B22A97" w:rsidRPr="00B22A97">
        <w:rPr>
          <w:rFonts w:ascii="Arial" w:hAnsi="Arial" w:cs="Arial"/>
          <w:b/>
          <w:bCs/>
          <w:i w:val="0"/>
          <w:color w:val="102467"/>
          <w:sz w:val="18"/>
          <w:szCs w:val="18"/>
        </w:rPr>
        <w:t xml:space="preserve"> </w:t>
      </w:r>
      <w:r w:rsidR="00B22A97" w:rsidRPr="00B22A97">
        <w:rPr>
          <w:bCs/>
          <w:i w:val="0"/>
          <w:iCs/>
        </w:rPr>
        <w:t>Balai Standardisasi dan Pelayanan Jasa Industri (BSPJI) Palembang </w:t>
      </w:r>
      <w:r w:rsidR="00B22A97">
        <w:rPr>
          <w:i w:val="0"/>
          <w:iCs/>
        </w:rPr>
        <w:t xml:space="preserve"> </w:t>
      </w:r>
      <w:r w:rsidR="00B741D7">
        <w:rPr>
          <w:i w:val="0"/>
          <w:iCs/>
        </w:rPr>
        <w:t xml:space="preserve"> </w:t>
      </w:r>
    </w:p>
    <w:p w14:paraId="2964BCD8" w14:textId="2BE9A937" w:rsidR="00B22A97" w:rsidRDefault="00B741D7" w:rsidP="00B741D7">
      <w:pPr>
        <w:pStyle w:val="AvoerAffliasi"/>
        <w:rPr>
          <w:i w:val="0"/>
          <w:iCs/>
        </w:rPr>
      </w:pPr>
      <w:r>
        <w:rPr>
          <w:i w:val="0"/>
          <w:iCs/>
          <w:vertAlign w:val="superscript"/>
        </w:rPr>
        <w:t>3</w:t>
      </w:r>
      <w:r w:rsidR="00142705">
        <w:rPr>
          <w:i w:val="0"/>
          <w:iCs/>
        </w:rPr>
        <w:t>P</w:t>
      </w:r>
      <w:r w:rsidR="00B22A97">
        <w:rPr>
          <w:i w:val="0"/>
        </w:rPr>
        <w:t>rodi T</w:t>
      </w:r>
      <w:r w:rsidR="00B22A97" w:rsidRPr="00B22A97">
        <w:rPr>
          <w:i w:val="0"/>
          <w:iCs/>
        </w:rPr>
        <w:t>eknol</w:t>
      </w:r>
      <w:r w:rsidR="00B22A97">
        <w:rPr>
          <w:i w:val="0"/>
          <w:iCs/>
        </w:rPr>
        <w:t>ogi Pengolahan Pulp dan Kertas, Fakultas vokasi, I</w:t>
      </w:r>
      <w:r w:rsidR="00B22A97" w:rsidRPr="00B22A97">
        <w:rPr>
          <w:i w:val="0"/>
          <w:iCs/>
        </w:rPr>
        <w:t>nstitut Teknologi Sains Bandung</w:t>
      </w:r>
    </w:p>
    <w:p w14:paraId="0A3C9836" w14:textId="3FB033D9" w:rsidR="00B741D7" w:rsidRDefault="00B22A97" w:rsidP="00B741D7">
      <w:pPr>
        <w:pStyle w:val="AvoerAffliasi"/>
        <w:rPr>
          <w:i w:val="0"/>
          <w:iCs/>
        </w:rPr>
      </w:pPr>
      <w:r>
        <w:rPr>
          <w:i w:val="0"/>
          <w:iCs/>
          <w:vertAlign w:val="superscript"/>
        </w:rPr>
        <w:t>4</w:t>
      </w:r>
      <w:r>
        <w:rPr>
          <w:i w:val="0"/>
          <w:iCs/>
        </w:rPr>
        <w:t xml:space="preserve">Prodi Rekayasa Minyak dan Gas </w:t>
      </w:r>
      <w:r w:rsidR="00AA49F6">
        <w:rPr>
          <w:i w:val="0"/>
          <w:iCs/>
        </w:rPr>
        <w:t xml:space="preserve"> Fakultas Teknologi Industri </w:t>
      </w:r>
      <w:r>
        <w:rPr>
          <w:i w:val="0"/>
          <w:iCs/>
        </w:rPr>
        <w:t xml:space="preserve"> , Institut Teknologi Sumatera Lampung </w:t>
      </w:r>
    </w:p>
    <w:p w14:paraId="00B86376" w14:textId="77777777" w:rsidR="00B741D7" w:rsidRPr="007844FE" w:rsidRDefault="00B741D7" w:rsidP="00EF560D">
      <w:pPr>
        <w:pStyle w:val="AvoerAffliasi"/>
        <w:rPr>
          <w:i w:val="0"/>
          <w:iCs/>
        </w:rPr>
      </w:pPr>
    </w:p>
    <w:p w14:paraId="31357556" w14:textId="6D0B6A3E" w:rsidR="0078030B" w:rsidRPr="007844FE" w:rsidRDefault="00ED77AC" w:rsidP="00EF560D">
      <w:pPr>
        <w:pStyle w:val="AvoerAffliasi"/>
        <w:rPr>
          <w:i w:val="0"/>
          <w:iCs/>
        </w:rPr>
      </w:pPr>
      <w:r w:rsidRPr="007844FE">
        <w:rPr>
          <w:i w:val="0"/>
          <w:iCs/>
          <w:vertAlign w:val="superscript"/>
        </w:rPr>
        <w:t>*</w:t>
      </w:r>
      <w:r w:rsidR="0078030B" w:rsidRPr="005C7A1A">
        <w:t>Corresponding author</w:t>
      </w:r>
      <w:r w:rsidR="0078030B" w:rsidRPr="007844FE">
        <w:rPr>
          <w:i w:val="0"/>
          <w:iCs/>
        </w:rPr>
        <w:t xml:space="preserve"> e-mail: </w:t>
      </w:r>
      <w:hyperlink r:id="rId8" w:history="1">
        <w:r w:rsidR="00123443" w:rsidRPr="0055196D">
          <w:rPr>
            <w:rStyle w:val="Hyperlink"/>
            <w:i w:val="0"/>
            <w:iCs/>
          </w:rPr>
          <w:t>budisantosokimia@unsri.ac.id</w:t>
        </w:r>
      </w:hyperlink>
    </w:p>
    <w:p w14:paraId="68EF326C" w14:textId="778A05AC" w:rsidR="00B22A97" w:rsidRPr="00B22A97" w:rsidRDefault="00C348FB" w:rsidP="00B22A97">
      <w:pPr>
        <w:pStyle w:val="AvoerAbstrak"/>
        <w:rPr>
          <w:lang w:val="id"/>
        </w:rPr>
      </w:pPr>
      <w:r w:rsidRPr="007844FE">
        <w:rPr>
          <w:b/>
        </w:rPr>
        <w:t>ABSTRAK</w:t>
      </w:r>
      <w:r w:rsidR="005E56B4" w:rsidRPr="007844FE">
        <w:rPr>
          <w:b/>
        </w:rPr>
        <w:t>:</w:t>
      </w:r>
      <w:r w:rsidR="0078030B" w:rsidRPr="007844FE">
        <w:rPr>
          <w:b/>
        </w:rPr>
        <w:t xml:space="preserve"> </w:t>
      </w:r>
      <w:r w:rsidR="00B22A97">
        <w:rPr>
          <w:b/>
        </w:rPr>
        <w:t xml:space="preserve"> </w:t>
      </w:r>
      <w:r w:rsidR="00B22A97" w:rsidRPr="00B22A97">
        <w:rPr>
          <w:lang w:val="id"/>
        </w:rPr>
        <w:t xml:space="preserve">Plasticizer berupa minyak mineral sebagian besar dihasilkan dari proses pengolahan berbasis minyak bumi yang terdiri dari minyak parafinik, naftenik, dan aromatik. Minyak nabati berpotensi menjadi sumber alternatif bahan baku plasticizer berbasis biologi, dengan cara dimodifikasi secara kimia untuk mendapatkan hidrokarbon yang setara dengan minyak bumi, salah satunya dengan dekarboksilasi. Penelitian ini menggunakan minyak nabati yang terdiri dari minyak sawit, minyak jagung, dan minyak biji bunga matahari. Proses dekarboksilasi dilakukan secara batch dengan kondisi terbuka menggunakan katalis heterogen jenis TiO2 </w:t>
      </w:r>
      <w:r w:rsidR="00B22A97" w:rsidRPr="00B22A97">
        <w:rPr>
          <w:vertAlign w:val="subscript"/>
          <w:lang w:val="id"/>
        </w:rPr>
        <w:t xml:space="preserve">, </w:t>
      </w:r>
      <w:r w:rsidR="00B22A97" w:rsidRPr="00B22A97">
        <w:rPr>
          <w:lang w:val="id"/>
        </w:rPr>
        <w:t xml:space="preserve">dengan suhu reaksi 250° </w:t>
      </w:r>
      <w:r w:rsidR="00B22A97" w:rsidRPr="00B22A97">
        <w:rPr>
          <w:lang w:val="id"/>
        </w:rPr>
        <w:sym w:font="Symbol" w:char="F0B0"/>
      </w:r>
      <w:r w:rsidR="00B22A97" w:rsidRPr="00B22A97">
        <w:rPr>
          <w:lang w:val="id"/>
        </w:rPr>
        <w:t xml:space="preserve">C, 300 </w:t>
      </w:r>
      <w:r w:rsidR="00B22A97" w:rsidRPr="00B22A97">
        <w:rPr>
          <w:lang w:val="id"/>
        </w:rPr>
        <w:sym w:font="Symbol" w:char="F0B0"/>
      </w:r>
      <w:r w:rsidR="00B22A97" w:rsidRPr="00B22A97">
        <w:rPr>
          <w:lang w:val="id"/>
        </w:rPr>
        <w:t xml:space="preserve">°C, dan 350 </w:t>
      </w:r>
      <w:r w:rsidR="00B22A97" w:rsidRPr="00B22A97">
        <w:rPr>
          <w:lang w:val="id"/>
        </w:rPr>
        <w:sym w:font="Symbol" w:char="F0B0"/>
      </w:r>
      <w:r w:rsidR="00B22A97" w:rsidRPr="00B22A97">
        <w:rPr>
          <w:lang w:val="id"/>
        </w:rPr>
        <w:t xml:space="preserve">°C. Parameter uji untuk mengamati reaksi dekarboksilasi adalah sifat fisis dan kandungan kimia hidrokarbon yang dihasilkan. Densitas terkecil diperoleh dari minyak bunga matahari pada suhu 350° </w:t>
      </w:r>
      <w:r w:rsidR="00B22A97" w:rsidRPr="00B22A97">
        <w:rPr>
          <w:lang w:val="id"/>
        </w:rPr>
        <w:sym w:font="Symbol" w:char="F0B0"/>
      </w:r>
      <w:r w:rsidR="00B22A97" w:rsidRPr="00B22A97">
        <w:rPr>
          <w:lang w:val="id"/>
        </w:rPr>
        <w:t xml:space="preserve">C yaitu sebesar 0,9262 g/mL. Viskositas tertinggi diperoleh dari minyak sawit pada suhu 350ºC yaitu sebesar 137,8377 cSt. Sementara viskositas terkecil diperoleh dari minyak bunga matahari pada suhu 320 </w:t>
      </w:r>
      <w:r w:rsidR="00B22A97" w:rsidRPr="00B22A97">
        <w:rPr>
          <w:lang w:val="id"/>
        </w:rPr>
        <w:sym w:font="Symbol" w:char="F0B0"/>
      </w:r>
      <w:r w:rsidR="00B22A97" w:rsidRPr="00B22A97">
        <w:rPr>
          <w:lang w:val="id"/>
        </w:rPr>
        <w:t xml:space="preserve">°C yaitu sebesar 43,3433 cSt. Persentase konversi minyak tertinggi yang diperoleh dalam penelitian ini adalah 95,5803% dari minyak sawit pada suhu 350 </w:t>
      </w:r>
      <w:r w:rsidR="00B22A97" w:rsidRPr="00B22A97">
        <w:rPr>
          <w:lang w:val="id"/>
        </w:rPr>
        <w:sym w:font="Symbol" w:char="F0B0"/>
      </w:r>
      <w:r w:rsidR="00B22A97" w:rsidRPr="00B22A97">
        <w:rPr>
          <w:lang w:val="id"/>
        </w:rPr>
        <w:t xml:space="preserve">°C, sedangkan konversi terendah adalah 86,1483% dari minyak bunga matahari pada suhu 250 </w:t>
      </w:r>
      <w:r w:rsidR="00B22A97" w:rsidRPr="00B22A97">
        <w:rPr>
          <w:lang w:val="id"/>
        </w:rPr>
        <w:sym w:font="Symbol" w:char="F0B0"/>
      </w:r>
      <w:r w:rsidR="00B22A97" w:rsidRPr="00B22A97">
        <w:rPr>
          <w:lang w:val="id"/>
        </w:rPr>
        <w:t xml:space="preserve">°C. Rendemen tertinggi sebesar 93,6552% diperoleh dari minyak sawit pada suhu 250° </w:t>
      </w:r>
      <w:r w:rsidR="00B22A97" w:rsidRPr="00B22A97">
        <w:rPr>
          <w:lang w:val="id"/>
        </w:rPr>
        <w:sym w:font="Symbol" w:char="F0B0"/>
      </w:r>
      <w:r w:rsidR="00B22A97" w:rsidRPr="00B22A97">
        <w:rPr>
          <w:lang w:val="id"/>
        </w:rPr>
        <w:t>C. Analisis GC-MS minyak bunga matahari pada suhu 300°C merupakan yang terbaik dari semua sampel, ditunjukkan dari fraksi C12C24 yang merupakan gugus olefin, dan fraksi C15-C24 yang cenderung merupakan gugus parafin. Reaksi dekarboksilasi tidak menghasilkan fraksi ringan dan memimpin proses fraktur hidrokarbon. Dengan demikian, minyak sayur ditemukan cocok untuk digunakan sebagai alternatif plasticizer berbasis bio sebagai pengganti plasticizer berbasis minyak bumi.</w:t>
      </w:r>
    </w:p>
    <w:p w14:paraId="152903F5" w14:textId="21D46141" w:rsidR="00EA34DC" w:rsidRPr="007844FE" w:rsidRDefault="00EA34DC" w:rsidP="00D343DF">
      <w:pPr>
        <w:pStyle w:val="AvoerKeyword"/>
      </w:pPr>
      <w:r w:rsidRPr="007844FE">
        <w:t xml:space="preserve">Kata Kunci: </w:t>
      </w:r>
      <w:r w:rsidR="00B22A97" w:rsidRPr="00B22A97">
        <w:rPr>
          <w:lang w:val="id"/>
        </w:rPr>
        <w:t>Minyak Jagung, Dekarboksilasi, Minyak Sawit, Plastisisasi, Minyak Bunga Matahari</w:t>
      </w:r>
    </w:p>
    <w:p w14:paraId="723C28BC" w14:textId="26636F63" w:rsidR="000A37E9" w:rsidRPr="00142705" w:rsidRDefault="000A37E9" w:rsidP="00F12D71">
      <w:pPr>
        <w:pStyle w:val="AvoerAbstract"/>
      </w:pPr>
      <w:r w:rsidRPr="007844FE">
        <w:rPr>
          <w:b/>
        </w:rPr>
        <w:t>A</w:t>
      </w:r>
      <w:r w:rsidR="00E748B6" w:rsidRPr="007844FE">
        <w:rPr>
          <w:b/>
        </w:rPr>
        <w:t>BSTRACT</w:t>
      </w:r>
      <w:r w:rsidRPr="007844FE">
        <w:rPr>
          <w:b/>
        </w:rPr>
        <w:t xml:space="preserve">: </w:t>
      </w:r>
      <w:r w:rsidR="00B22A97" w:rsidRPr="00B22A97">
        <w:rPr>
          <w:lang w:bidi="en-US"/>
        </w:rPr>
        <w:t xml:space="preserve"> </w:t>
      </w:r>
      <w:r w:rsidR="00B22A97">
        <w:rPr>
          <w:lang w:bidi="en-US"/>
        </w:rPr>
        <w:t>P</w:t>
      </w:r>
      <w:r w:rsidR="00B22A97" w:rsidRPr="00B22A97">
        <w:rPr>
          <w:lang w:bidi="en-US"/>
        </w:rPr>
        <w:t>lasticizers in the form of mineral oil are produced from petroleum-based processing which consist of paraffinic, naphthenic and aromatic oils. Vegetable oil has the potential to be an alternative source of raw materials for biological-based plasticizers, by chemically modified to get hydrocarbons equivalent to petroleum oil, such as by decarboxylation. This study used vegetable oil consists of palm oil, corn oil and sunflower seed oil. The decarboxylation process was carried out in batches  with open conditions using a heterogeneous catalyst of type TiO</w:t>
      </w:r>
      <w:r w:rsidR="00B22A97" w:rsidRPr="00B22A97">
        <w:rPr>
          <w:vertAlign w:val="subscript"/>
          <w:lang w:bidi="en-US"/>
        </w:rPr>
        <w:t xml:space="preserve">2, </w:t>
      </w:r>
      <w:r w:rsidR="00B22A97" w:rsidRPr="00B22A97">
        <w:rPr>
          <w:lang w:bidi="en-US"/>
        </w:rPr>
        <w:t xml:space="preserve">with reaction temperature was 250 </w:t>
      </w:r>
      <w:r w:rsidR="00B22A97" w:rsidRPr="00B22A97">
        <w:rPr>
          <w:lang w:bidi="en-US"/>
        </w:rPr>
        <w:sym w:font="Symbol" w:char="F0B0"/>
      </w:r>
      <w:r w:rsidR="00B22A97" w:rsidRPr="00B22A97">
        <w:rPr>
          <w:lang w:bidi="en-US"/>
        </w:rPr>
        <w:t xml:space="preserve">C, 300 </w:t>
      </w:r>
      <w:r w:rsidR="00B22A97" w:rsidRPr="00B22A97">
        <w:rPr>
          <w:lang w:bidi="en-US"/>
        </w:rPr>
        <w:sym w:font="Symbol" w:char="F0B0"/>
      </w:r>
      <w:r w:rsidR="00B22A97" w:rsidRPr="00B22A97">
        <w:rPr>
          <w:lang w:bidi="en-US"/>
        </w:rPr>
        <w:t xml:space="preserve">C, and 350 </w:t>
      </w:r>
      <w:r w:rsidR="00B22A97" w:rsidRPr="00B22A97">
        <w:rPr>
          <w:lang w:bidi="en-US"/>
        </w:rPr>
        <w:sym w:font="Symbol" w:char="F0B0"/>
      </w:r>
      <w:r w:rsidR="00B22A97" w:rsidRPr="00B22A97">
        <w:rPr>
          <w:lang w:bidi="en-US"/>
        </w:rPr>
        <w:t xml:space="preserve">C. The test parameters for observing the decarboxylation reaction are physical properties and chemical content of the resulting hydrocarbons. The smallest density was obtained from sunflower oil at 350 </w:t>
      </w:r>
      <w:r w:rsidR="00B22A97" w:rsidRPr="00B22A97">
        <w:rPr>
          <w:lang w:bidi="en-US"/>
        </w:rPr>
        <w:sym w:font="Symbol" w:char="F0B0"/>
      </w:r>
      <w:r w:rsidR="00B22A97" w:rsidRPr="00B22A97">
        <w:rPr>
          <w:lang w:bidi="en-US"/>
        </w:rPr>
        <w:t xml:space="preserve">C which is equal to 0.9262 g/mL. The highest viscosity is obtained from palm oil at 350ºC which is 137.8377 cSt. While the smallest viscosity is obtained from sunflower oil at a temperature of 320 </w:t>
      </w:r>
      <w:r w:rsidR="00B22A97" w:rsidRPr="00B22A97">
        <w:rPr>
          <w:lang w:bidi="en-US"/>
        </w:rPr>
        <w:sym w:font="Symbol" w:char="F0B0"/>
      </w:r>
      <w:r w:rsidR="00B22A97" w:rsidRPr="00B22A97">
        <w:rPr>
          <w:lang w:bidi="en-US"/>
        </w:rPr>
        <w:t xml:space="preserve">C which is equal to 43,3433 cSt. The highest percentage of oil conversion obtained in this study was 95.5803% of palm oil at 350 </w:t>
      </w:r>
      <w:r w:rsidR="00B22A97" w:rsidRPr="00B22A97">
        <w:rPr>
          <w:lang w:bidi="en-US"/>
        </w:rPr>
        <w:sym w:font="Symbol" w:char="F0B0"/>
      </w:r>
      <w:r w:rsidR="00B22A97" w:rsidRPr="00B22A97">
        <w:rPr>
          <w:lang w:bidi="en-US"/>
        </w:rPr>
        <w:t xml:space="preserve">C, while the lowest conversion was 86.1483% from sunflower oil at 250 </w:t>
      </w:r>
      <w:r w:rsidR="00B22A97" w:rsidRPr="00B22A97">
        <w:rPr>
          <w:lang w:bidi="en-US"/>
        </w:rPr>
        <w:sym w:font="Symbol" w:char="F0B0"/>
      </w:r>
      <w:r w:rsidR="00B22A97" w:rsidRPr="00B22A97">
        <w:rPr>
          <w:lang w:bidi="en-US"/>
        </w:rPr>
        <w:t xml:space="preserve">C. The highest yield of 93.6552% was obtained from palm oil at 250 </w:t>
      </w:r>
      <w:r w:rsidR="00B22A97" w:rsidRPr="00B22A97">
        <w:rPr>
          <w:lang w:bidi="en-US"/>
        </w:rPr>
        <w:sym w:font="Symbol" w:char="F0B0"/>
      </w:r>
      <w:r w:rsidR="00B22A97" w:rsidRPr="00B22A97">
        <w:rPr>
          <w:lang w:bidi="en-US"/>
        </w:rPr>
        <w:t>C  GC-MS analysis of sunflower oil at 300 °C were the best from all samples, showed from the fraction of C</w:t>
      </w:r>
      <w:r w:rsidR="00B22A97" w:rsidRPr="00B22A97">
        <w:rPr>
          <w:vertAlign w:val="subscript"/>
          <w:lang w:bidi="en-US"/>
        </w:rPr>
        <w:t>12</w:t>
      </w:r>
      <w:r w:rsidR="00B22A97" w:rsidRPr="00B22A97">
        <w:rPr>
          <w:lang w:bidi="en-US"/>
        </w:rPr>
        <w:t>C</w:t>
      </w:r>
      <w:r w:rsidR="00B22A97" w:rsidRPr="00B22A97">
        <w:rPr>
          <w:vertAlign w:val="subscript"/>
          <w:lang w:bidi="en-US"/>
        </w:rPr>
        <w:t xml:space="preserve">24 </w:t>
      </w:r>
      <w:r w:rsidR="00B22A97" w:rsidRPr="00B22A97">
        <w:rPr>
          <w:lang w:bidi="en-US"/>
        </w:rPr>
        <w:t>which is an olefin group, and C15-C24 fraction which tend to be paraffin groups. Decarboxylation reaction did not produce light fraction and lead the hydrocarbon fracture process.  Thus, vegetable oil is found suitable for use as a bio-based plasticizer alternative to petroleoum-</w:t>
      </w:r>
      <w:r w:rsidR="00EC18F1" w:rsidRPr="00142705">
        <w:t xml:space="preserve"> </w:t>
      </w:r>
    </w:p>
    <w:p w14:paraId="052A493D" w14:textId="66BABCAC" w:rsidR="000A37E9" w:rsidRPr="00B22A97" w:rsidRDefault="000A37E9" w:rsidP="00F12D71">
      <w:pPr>
        <w:pStyle w:val="AvoerKeywords"/>
      </w:pPr>
      <w:r w:rsidRPr="007844FE">
        <w:t xml:space="preserve">Keywords: </w:t>
      </w:r>
      <w:r w:rsidR="00B22A97" w:rsidRPr="00B22A97">
        <w:rPr>
          <w:lang w:bidi="en-US"/>
        </w:rPr>
        <w:t xml:space="preserve">corn oil, decarboxylation, palm oil, plasticizes, sunflower oil, </w:t>
      </w:r>
    </w:p>
    <w:p w14:paraId="72EA27C7" w14:textId="77777777" w:rsidR="00EA34DC" w:rsidRPr="007844FE" w:rsidRDefault="00EA34DC" w:rsidP="00CF1CD1">
      <w:pPr>
        <w:spacing w:after="0"/>
        <w:jc w:val="both"/>
        <w:rPr>
          <w:rFonts w:ascii="Times New Roman" w:hAnsi="Times New Roman" w:cs="Times New Roman"/>
          <w:sz w:val="20"/>
          <w:szCs w:val="20"/>
        </w:rPr>
        <w:sectPr w:rsidR="00EA34DC" w:rsidRPr="007844FE" w:rsidSect="00A84361">
          <w:headerReference w:type="even" r:id="rId9"/>
          <w:headerReference w:type="default" r:id="rId10"/>
          <w:headerReference w:type="first" r:id="rId11"/>
          <w:pgSz w:w="12240" w:h="15840"/>
          <w:pgMar w:top="1440" w:right="1134" w:bottom="1440" w:left="1134" w:header="709" w:footer="709" w:gutter="0"/>
          <w:cols w:space="708"/>
          <w:titlePg/>
          <w:docGrid w:linePitch="360"/>
        </w:sectPr>
      </w:pPr>
    </w:p>
    <w:p w14:paraId="1C04FF39" w14:textId="6E9B6D62" w:rsidR="003838DD" w:rsidRPr="007844FE" w:rsidRDefault="003838DD" w:rsidP="00B22A97">
      <w:pPr>
        <w:pStyle w:val="Heading1"/>
        <w:numPr>
          <w:ilvl w:val="0"/>
          <w:numId w:val="21"/>
        </w:numPr>
      </w:pPr>
      <w:r w:rsidRPr="007844FE">
        <w:lastRenderedPageBreak/>
        <w:t>Pendahuluan</w:t>
      </w:r>
    </w:p>
    <w:p w14:paraId="35C74178" w14:textId="77777777" w:rsidR="00B22A97" w:rsidRPr="00B22A97"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Minyak nabati merupakan bahan pangan yang banyak digunakan dalam kehidupan sehari-hari. Minyak nabati berasal dari bahan baku seperti minyak sawit, minyak bunga matahari, minyak jagung, minyak kedelai, minyak ketapang ( </w:t>
      </w:r>
      <w:r w:rsidRPr="00B22A97">
        <w:rPr>
          <w:rFonts w:ascii="Times New Roman" w:eastAsia="Times New Roman" w:hAnsi="Times New Roman" w:cs="Times New Roman"/>
          <w:i/>
          <w:iCs/>
          <w:sz w:val="20"/>
          <w:szCs w:val="20"/>
          <w:lang w:val="id" w:eastAsia="id-ID"/>
        </w:rPr>
        <w:t xml:space="preserve">Terminalia catappa) </w:t>
      </w:r>
      <w:r w:rsidRPr="00B22A97">
        <w:rPr>
          <w:rFonts w:ascii="Times New Roman" w:eastAsia="Times New Roman" w:hAnsi="Times New Roman" w:cs="Times New Roman"/>
          <w:sz w:val="20"/>
          <w:szCs w:val="20"/>
          <w:lang w:val="id" w:eastAsia="id-ID"/>
        </w:rPr>
        <w:t xml:space="preserve">, dan sebagainya. Kandungan utama minyak nabati adalah asam lemak seperti asam oleat atau Omega 9, dan asam linoleat atau Omega 6 </w:t>
      </w:r>
      <w:r w:rsidRPr="00B22A97">
        <w:rPr>
          <w:rFonts w:ascii="Times New Roman" w:eastAsia="Times New Roman" w:hAnsi="Times New Roman" w:cs="Times New Roman"/>
          <w:sz w:val="20"/>
          <w:szCs w:val="20"/>
          <w:lang w:val="id" w:eastAsia="id-ID"/>
        </w:rPr>
        <w:fldChar w:fldCharType="begin" w:fldLock="1"/>
      </w:r>
      <w:r w:rsidRPr="00B22A97">
        <w:rPr>
          <w:rFonts w:ascii="Times New Roman" w:eastAsia="Times New Roman" w:hAnsi="Times New Roman" w:cs="Times New Roman"/>
          <w:sz w:val="20"/>
          <w:szCs w:val="20"/>
          <w:lang w:val="id" w:eastAsia="id-ID"/>
        </w:rPr>
        <w:instrText>ADDIN CSL_CITATION {"citationItems":[{"id":"ITEM-1","itemData":{"DOI":"10.1136/openhrt-2018-000898","ISSN":"20533624","author":[{"dropping-particle":"","family":"Dinicolantonio","given":"James J.","non-dropping-particle":"","parse-names":false,"suffix":""},{"dropping-particle":"","family":"O'Keefe","given":"James H.","non-dropping-particle":"","parse-names":false,"suffix":""}],"container-title":"Open Heart","id":"ITEM-1","issue":"2","issued":{"date-parts":[["2018"]]},"page":"1-6","title":"Omega-6 vegetable oils as a driver of coronary heart disease: The oxidized linoleic acid hypothesis","type":"article-journal","volume":"5"},"uris":["http://www.mendeley.com/documents/?uuid=de84db08-266a-405e-8e89-f95c11ce1bd2"]}],"mendeley":{"formattedCitation":"[1]","plainTextFormattedCitation":"[1]","previouslyFormattedCitation":"[1]"},"properties":{"noteIndex":0},"schema":"https://github.com/citation-style-language/schema/raw/master/csl-citation.json"}</w:instrText>
      </w:r>
      <w:r w:rsidRPr="00B22A97">
        <w:rPr>
          <w:rFonts w:ascii="Times New Roman" w:eastAsia="Times New Roman" w:hAnsi="Times New Roman" w:cs="Times New Roman"/>
          <w:sz w:val="20"/>
          <w:szCs w:val="20"/>
          <w:lang w:val="id" w:eastAsia="id-ID"/>
        </w:rPr>
        <w:fldChar w:fldCharType="separate"/>
      </w:r>
      <w:r w:rsidRPr="00B22A97">
        <w:rPr>
          <w:rFonts w:ascii="Times New Roman" w:eastAsia="Times New Roman" w:hAnsi="Times New Roman" w:cs="Times New Roman"/>
          <w:sz w:val="20"/>
          <w:szCs w:val="20"/>
          <w:lang w:val="id" w:eastAsia="id-ID"/>
        </w:rPr>
        <w:t xml:space="preserve">[1] </w:t>
      </w:r>
      <w:r w:rsidRPr="00B22A97">
        <w:rPr>
          <w:rFonts w:ascii="Times New Roman" w:eastAsia="Times New Roman" w:hAnsi="Times New Roman" w:cs="Times New Roman"/>
          <w:sz w:val="20"/>
          <w:szCs w:val="20"/>
          <w:lang w:eastAsia="id-ID"/>
        </w:rPr>
        <w:fldChar w:fldCharType="end"/>
      </w:r>
      <w:r w:rsidRPr="00B22A97">
        <w:rPr>
          <w:rFonts w:ascii="Times New Roman" w:eastAsia="Times New Roman" w:hAnsi="Times New Roman" w:cs="Times New Roman"/>
          <w:sz w:val="20"/>
          <w:szCs w:val="20"/>
          <w:lang w:val="id" w:eastAsia="id-ID"/>
        </w:rPr>
        <w:t xml:space="preserve">, </w:t>
      </w:r>
      <w:r w:rsidRPr="00B22A97">
        <w:rPr>
          <w:rFonts w:ascii="Times New Roman" w:eastAsia="Times New Roman" w:hAnsi="Times New Roman" w:cs="Times New Roman"/>
          <w:sz w:val="20"/>
          <w:szCs w:val="20"/>
          <w:lang w:val="id" w:eastAsia="id-ID"/>
        </w:rPr>
        <w:fldChar w:fldCharType="begin" w:fldLock="1"/>
      </w:r>
      <w:r w:rsidRPr="00B22A97">
        <w:rPr>
          <w:rFonts w:ascii="Times New Roman" w:eastAsia="Times New Roman" w:hAnsi="Times New Roman" w:cs="Times New Roman"/>
          <w:sz w:val="20"/>
          <w:szCs w:val="20"/>
          <w:lang w:val="id" w:eastAsia="id-ID"/>
        </w:rPr>
        <w:instrText>ADDIN CSL_CITATION {"citationItems":[{"id":"ITEM-1","itemData":{"DOI":"10.1016/B978-0-444-53741-6.00049-0","ISBN":"9780444537416","ISSN":"03786080","author":[{"dropping-particle":"","family":"Choulis","given":"N. H.","non-dropping-particle":"","parse-names":false,"suffix":""}],"container-title":"Side Effects of Drugs Annual","edition":"1","id":"ITEM-1","issue":"1","issued":{"date-parts":[["2011"]]},"number-of-pages":"1009-1029","publisher":"Elsevier B.V.","title":"Miscellaneous drugs, materials, medical devices, and techniques","type":"book","volume":"33"},"uris":["http://www.mendeley.com/documents/?uuid=f99d134e-f910-45f1-b183-dfdff435e194"]}],"mendeley":{"formattedCitation":"[2]","plainTextFormattedCitation":"[2]","previouslyFormattedCitation":"[2]"},"properties":{"noteIndex":0},"schema":"https://github.com/citation-style-language/schema/raw/master/csl-citation.json"}</w:instrText>
      </w:r>
      <w:r w:rsidRPr="00B22A97">
        <w:rPr>
          <w:rFonts w:ascii="Times New Roman" w:eastAsia="Times New Roman" w:hAnsi="Times New Roman" w:cs="Times New Roman"/>
          <w:sz w:val="20"/>
          <w:szCs w:val="20"/>
          <w:lang w:val="id" w:eastAsia="id-ID"/>
        </w:rPr>
        <w:fldChar w:fldCharType="separate"/>
      </w:r>
      <w:r w:rsidRPr="00B22A97">
        <w:rPr>
          <w:rFonts w:ascii="Times New Roman" w:eastAsia="Times New Roman" w:hAnsi="Times New Roman" w:cs="Times New Roman"/>
          <w:sz w:val="20"/>
          <w:szCs w:val="20"/>
          <w:lang w:val="id" w:eastAsia="id-ID"/>
        </w:rPr>
        <w:t xml:space="preserve">[2] </w:t>
      </w:r>
      <w:r w:rsidRPr="00B22A97">
        <w:rPr>
          <w:rFonts w:ascii="Times New Roman" w:eastAsia="Times New Roman" w:hAnsi="Times New Roman" w:cs="Times New Roman"/>
          <w:sz w:val="20"/>
          <w:szCs w:val="20"/>
          <w:lang w:eastAsia="id-ID"/>
        </w:rPr>
        <w:fldChar w:fldCharType="end"/>
      </w:r>
      <w:r w:rsidRPr="00B22A97">
        <w:rPr>
          <w:rFonts w:ascii="Times New Roman" w:eastAsia="Times New Roman" w:hAnsi="Times New Roman" w:cs="Times New Roman"/>
          <w:sz w:val="20"/>
          <w:szCs w:val="20"/>
          <w:lang w:val="id" w:eastAsia="id-ID"/>
        </w:rPr>
        <w:t>.</w:t>
      </w:r>
    </w:p>
    <w:p w14:paraId="382280FC" w14:textId="77777777" w:rsidR="00B22A97" w:rsidRPr="00B22A97"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Minyak sawit diperoleh dari proses pengepresan daging buah kelapa sawit (Elais Guineensis Jaqs) yang berwarna kuning kemerahan hingga merah tua. Warna alami minyak sawit adalah merah karena kandungan betakarotennya yang tinggi. Minyak sawit berbeda dengan minyak inti sawit yang dihasilkan dari inti buah yang sama. Perbedaannya terletak pada warna (minyak inti sawit tidak memiliki karotenoid), dan kandungan lemak jenuhnya. Asam lemak jenuh yang terkandung dalam minyak inti aprikot adalah 6,3 ( g/100g minyak), 86,5 ( g/100g minyak) dalam minyak kelapa, sedangkan 49,3 (g/100g minyak) terkandung dalam minyak sawit </w:t>
      </w:r>
      <w:r w:rsidRPr="00B22A97">
        <w:rPr>
          <w:rFonts w:ascii="Times New Roman" w:eastAsia="Times New Roman" w:hAnsi="Times New Roman" w:cs="Times New Roman"/>
          <w:sz w:val="20"/>
          <w:szCs w:val="20"/>
          <w:lang w:val="id" w:eastAsia="id-ID"/>
        </w:rPr>
        <w:fldChar w:fldCharType="begin" w:fldLock="1"/>
      </w:r>
      <w:r w:rsidRPr="00B22A97">
        <w:rPr>
          <w:rFonts w:ascii="Times New Roman" w:eastAsia="Times New Roman" w:hAnsi="Times New Roman" w:cs="Times New Roman"/>
          <w:sz w:val="20"/>
          <w:szCs w:val="20"/>
          <w:lang w:val="id" w:eastAsia="id-ID"/>
        </w:rPr>
        <w:instrText>ADDIN CSL_CITATION {"citationItems":[{"id":"ITEM-1","itemData":{"DOI":"10.1016/B978-0-12-384947-2.00709-1","ISBN":"9780123849533","abstract":"Vegetable oils are obtained from a plant source, such as vegetables, nuts, or seeds. Edible vegetable oils are mainly used in cooking, as salad dressings, in manufacture for margarines and spreads, and in bakery. During the past 100-150 years, there has been a substantial growth in the production and consumption of vegetable oils, which led to a wide debate regarding possible health effects of this increased consumption.Different vegetable oils have important differences in fatty acid composition and also different compositions in nonglyceridic content including phenols, sterols, tocopherols, and squalene, but these nutrients vary substantially depending on processing and storage conditions.Olive oil is the oldest known edible oil used in humans' diet. It is a main constituent of the traditional Mediterranean diet, which has a protective role against a number of diseases including cardiovascular disease and cancer.The aim of this article is the presentation of nutritional composition and dietary importance of vegetable oils.","author":[{"dropping-particle":"","family":"Savva","given":"S. C.","non-dropping-particle":"","parse-names":false,"suffix":""},{"dropping-particle":"","family":"Kafatos","given":"A.","non-dropping-particle":"","parse-names":false,"suffix":""}],"container-title":"Encyclopedia of Food and Health","edition":"1","id":"ITEM-1","issued":{"date-parts":[["2015"]]},"number-of-pages":"365-372","publisher":"Elsevier Ltd.","title":"Vegetable Oils: Dietary Importance","type":"book"},"uris":["http://www.mendeley.com/documents/?uuid=155ec7b4-1a23-47a0-9136-5f2c9d2174b1"]}],"mendeley":{"formattedCitation":"[3]","plainTextFormattedCitation":"[3]","previouslyFormattedCitation":"[3]"},"properties":{"noteIndex":0},"schema":"https://github.com/citation-style-language/schema/raw/master/csl-citation.json"}</w:instrText>
      </w:r>
      <w:r w:rsidRPr="00B22A97">
        <w:rPr>
          <w:rFonts w:ascii="Times New Roman" w:eastAsia="Times New Roman" w:hAnsi="Times New Roman" w:cs="Times New Roman"/>
          <w:sz w:val="20"/>
          <w:szCs w:val="20"/>
          <w:lang w:val="id" w:eastAsia="id-ID"/>
        </w:rPr>
        <w:fldChar w:fldCharType="separate"/>
      </w:r>
      <w:r w:rsidRPr="00B22A97">
        <w:rPr>
          <w:rFonts w:ascii="Times New Roman" w:eastAsia="Times New Roman" w:hAnsi="Times New Roman" w:cs="Times New Roman"/>
          <w:sz w:val="20"/>
          <w:szCs w:val="20"/>
          <w:lang w:val="id" w:eastAsia="id-ID"/>
        </w:rPr>
        <w:t xml:space="preserve">[3] </w:t>
      </w:r>
      <w:r w:rsidRPr="00B22A97">
        <w:rPr>
          <w:rFonts w:ascii="Times New Roman" w:eastAsia="Times New Roman" w:hAnsi="Times New Roman" w:cs="Times New Roman"/>
          <w:sz w:val="20"/>
          <w:szCs w:val="20"/>
          <w:lang w:eastAsia="id-ID"/>
        </w:rPr>
        <w:fldChar w:fldCharType="end"/>
      </w:r>
      <w:r w:rsidRPr="00B22A97">
        <w:rPr>
          <w:rFonts w:ascii="Times New Roman" w:eastAsia="Times New Roman" w:hAnsi="Times New Roman" w:cs="Times New Roman"/>
          <w:sz w:val="20"/>
          <w:szCs w:val="20"/>
          <w:lang w:val="id" w:eastAsia="id-ID"/>
        </w:rPr>
        <w:t>.</w:t>
      </w:r>
    </w:p>
    <w:p w14:paraId="1EBB0C9B" w14:textId="77777777" w:rsidR="00B22A97" w:rsidRPr="00B22A97"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Sebagian besar asam lemak yang terkandung dalam minyak sawit merupakan asam lemak jenuh, yaitu asam palmitat. Asam lemak jenuh hanya memiliki ikatan tunggal antar atom karbon penyusunnya, sedangkan asam lemak tak jenuh memiliki paling sedikit satu ikatan rangkap antar atom karbon penyusunnya. Asam lemak jenuh lebih stabil (tidak mudah bereaksi) dibandingkan asam lemak tak jenuh. Asam lemak trans dihasilkan melalui isomerisasi langsung konfigurasi cis ikatan rangkapnya masing-masing tanpa terjadi pergeseran kedudukannya. </w:t>
      </w:r>
      <w:r w:rsidRPr="00B22A97">
        <w:rPr>
          <w:rFonts w:ascii="Times New Roman" w:eastAsia="Times New Roman" w:hAnsi="Times New Roman" w:cs="Times New Roman"/>
          <w:sz w:val="20"/>
          <w:szCs w:val="20"/>
          <w:lang w:val="id" w:eastAsia="id-ID"/>
        </w:rPr>
        <w:fldChar w:fldCharType="begin" w:fldLock="1"/>
      </w:r>
      <w:r w:rsidRPr="00B22A97">
        <w:rPr>
          <w:rFonts w:ascii="Times New Roman" w:eastAsia="Times New Roman" w:hAnsi="Times New Roman" w:cs="Times New Roman"/>
          <w:sz w:val="20"/>
          <w:szCs w:val="20"/>
          <w:lang w:val="id" w:eastAsia="id-ID"/>
        </w:rPr>
        <w:instrText>ADDIN CSL_CITATION {"citationItems":[{"id":"ITEM-1","itemData":{"DOI":"10.1016/S0378-1097(03)00792-4","ISSN":"03781097","PMID":"14659535","abstract":"Isomerization of cis to trans unsaturated fatty acids is a mechanism enabling Gram-negative bacteria belonging to the genera Pseudomonas and Vibrio to adapt to several forms of environmental stress. The extent of the isomerization apparently correlates with the fluidity effects caused, i.e. by an increase in temperature or the accumulation of membrane-toxic organic compounds. Trans fatty acids are generated by direct isomerization of the respective cis configuration of the double bond without a shift of its position. The conversion of cis unsaturated fatty acids to trans is apparently instrumental in the adaptation of membrane fluidity to changing chemical or physical parameters of the cellular environment. Such an adaptive mechanism appears to be an alternative way to regulate membrane fluidity when growth is inhibited, e.g. by high concentrations of toxic substances. The cis-trans isomerase (Cti) activity is constitutively present and is located in the periplasma, it requires neither ATP nor any other cofactor such as NAD(P)H or glutathione, and it operates in the absence of de novo synthesis of lipids. Its independence from ATP is in agreement with the negative free energy of the reaction. cti encodes a polypeptide with an N-terminal hydrophobic signal sequence, which is cleaved off during or shortly after the enzyme is transported across the cytoplasmic membrane to the periplasmic space. A functional heme-binding site of the cytochrome c-type was identified in the predicted Cti polypeptide and very recently, direct evidence was obtained that isomerization does not include a transient saturation of the double bond. © 2003 Federation of European Microbiological Societies. Published by Elsevier B.V. All rights reserved.","author":[{"dropping-particle":"","family":"Heipieper","given":"Hermann J.","non-dropping-particle":"","parse-names":false,"suffix":""},{"dropping-particle":"","family":"Meinhardt","given":"Friedhelm","non-dropping-particle":"","parse-names":false,"suffix":""},{"dropping-particle":"","family":"Segura","given":"Ana","non-dropping-particle":"","parse-names":false,"suffix":""}],"container-title":"FEMS Microbiology Letters","id":"ITEM-1","issue":"1","issued":{"date-parts":[["2003"]]},"page":"1-7","title":"The cis-trans isomerase of unsaturated fatty acids in Pseudomonas and Vibrio: Biochemistry, molecular biology and physiological function of a unique stress adaptive mechanism","type":"article-journal","volume":"229"},"uris":["http://www.mendeley.com/documents/?uuid=8b843aec-fcf2-41af-adff-546a6f292a4a"]}],"mendeley":{"formattedCitation":"[4]","plainTextFormattedCitation":"[4]"},"properties":{"noteIndex":0},"schema":"https://github.com/citation-style-language/schema/raw/master/csl-citation.json"}</w:instrText>
      </w:r>
      <w:r w:rsidRPr="00B22A97">
        <w:rPr>
          <w:rFonts w:ascii="Times New Roman" w:eastAsia="Times New Roman" w:hAnsi="Times New Roman" w:cs="Times New Roman"/>
          <w:sz w:val="20"/>
          <w:szCs w:val="20"/>
          <w:lang w:val="id" w:eastAsia="id-ID"/>
        </w:rPr>
        <w:fldChar w:fldCharType="separate"/>
      </w:r>
      <w:r w:rsidRPr="00B22A97">
        <w:rPr>
          <w:rFonts w:ascii="Times New Roman" w:eastAsia="Times New Roman" w:hAnsi="Times New Roman" w:cs="Times New Roman"/>
          <w:sz w:val="20"/>
          <w:szCs w:val="20"/>
          <w:lang w:val="id" w:eastAsia="id-ID"/>
        </w:rPr>
        <w:t xml:space="preserve">[4] </w:t>
      </w:r>
      <w:r w:rsidRPr="00B22A97">
        <w:rPr>
          <w:rFonts w:ascii="Times New Roman" w:eastAsia="Times New Roman" w:hAnsi="Times New Roman" w:cs="Times New Roman"/>
          <w:sz w:val="20"/>
          <w:szCs w:val="20"/>
          <w:lang w:eastAsia="id-ID"/>
        </w:rPr>
        <w:fldChar w:fldCharType="end"/>
      </w:r>
      <w:r w:rsidRPr="00B22A97">
        <w:rPr>
          <w:rFonts w:ascii="Times New Roman" w:eastAsia="Times New Roman" w:hAnsi="Times New Roman" w:cs="Times New Roman"/>
          <w:sz w:val="20"/>
          <w:szCs w:val="20"/>
          <w:lang w:val="id" w:eastAsia="id-ID"/>
        </w:rPr>
        <w:t>. Ikatan rangkap pada asam lemak tak jenuh mudah bereaksi dengan oksigen. Adanya ikatan rangkap pada asam lemak tak jenuh membuatnya memiliki dua bentuk, cis yang tidak stabil dan trans yang stabil. Asam palmitat yang terkandung dalam minyak sawit sebesar 32-59% (Godin dan Spensley, 1971).</w:t>
      </w:r>
    </w:p>
    <w:p w14:paraId="08DF4D9C" w14:textId="77777777" w:rsidR="00B22A97" w:rsidRPr="00B22A97"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Minyak jagung diperoleh dengan mengekstrak bagian kelembagaan biji jagung. Persentase trigliserida dalam minyak jagung sekitar 98,6%, sedangkan sisanya adalah non-minyak, seperti abu, air, pewarna atau lilin. Asam lemak yang membentuk minyak jagung terdiri dari asam lemak jenuh dan asam lemak tak jenuh. Jumlah asam lemak jenuh dalam minyak jagung sekitar 13% dan sisanya 86% adalah asam lemak tak jenuh. Kandungan asam lemak utama dalam minyak jagung adalah 56,8% asam linoleat dan 30,1% asam oleat (Ketaren, 1986). Minyak biji bunga matahari mengandung 91% lebih banyak asam lemak tak jenuh daripada oleat dan linoleat yang ditemukan dalam minyak kedelai, kacang tanah, jagung, minyak sawit, sehingga baik untuk kesehatan (Suprapto dan Supanjani, 2009). Minyak biji bunga matahari mengandung 4472% asam linoleat dan 40-55% asam oleat (Rukmana, 2004).</w:t>
      </w:r>
    </w:p>
    <w:p w14:paraId="79B10F18" w14:textId="77777777" w:rsidR="00B22A97" w:rsidRPr="00B22A97"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Minyak sayur dapat menggantikan minyak mineral seperti pelumas dan cairan hidrolik, atau hanya memerlukan modifikasi kimia kecil untuk menggantikan bahan baku yang berasal dari petrokimia </w:t>
      </w:r>
      <w:r w:rsidRPr="00B22A97">
        <w:rPr>
          <w:rFonts w:ascii="Times New Roman" w:eastAsia="Times New Roman" w:hAnsi="Times New Roman" w:cs="Times New Roman"/>
          <w:sz w:val="20"/>
          <w:szCs w:val="20"/>
          <w:lang w:val="id" w:eastAsia="id-ID"/>
        </w:rPr>
        <w:fldChar w:fldCharType="begin" w:fldLock="1"/>
      </w:r>
      <w:r w:rsidRPr="00B22A97">
        <w:rPr>
          <w:rFonts w:ascii="Times New Roman" w:eastAsia="Times New Roman" w:hAnsi="Times New Roman" w:cs="Times New Roman"/>
          <w:sz w:val="20"/>
          <w:szCs w:val="20"/>
          <w:lang w:val="id" w:eastAsia="id-ID"/>
        </w:rPr>
        <w:instrText>ADDIN CSL_CITATION {"citationItems":[{"id":"ITEM-1","itemData":{"DOI":"10.1016/B978-0-08-088504-9.00256-7","ISBN":"9780080885049","abstract":"Vegetable oils have enormous potential as alternatives and replacements for mineral oil in a myriad of industrial applications. Although our knowledge of the genes and biochemical pathways leading to the formation of plant oils allows for the potential to engineer a diverse array of lipid products in seed oils, this goal remains a challenge. This article first summarizes current industrial uses of plant oils while highlighting features that make them attractive for industrial applications and presents a general overview of seed oil biosynthesis. Thereafter, the article considers various metabolic engineering strategies to achieve desired fatty acid compositions of seed oils for industrial applications. Among the target modifications examined are fatty acid chain length, level of desaturation, and the presence of novel functional groups, which are introduced within the endoplasmic reticulum. The role of triacylglycerol assembly in accommodating industrially useful fatty acyl groups is also addressed. In addition, a section is devoted to examining the manipulation of key steps in carbon flow to increase seed oil content. The concept of producing oil in vegetative tissues is also addressed, as is the development of crop 'platforms' for the production of metabolically engineered bio-industrial oils. Finally, this article examines the potential of waxes for industrial applications, which require lubricants that are more stable to hydrolysis at higher temperatures.","author":[{"dropping-particle":"","family":"Taylor","given":"D. C.","non-dropping-particle":"","parse-names":false,"suffix":""},{"dropping-particle":"","family":"Smith","given":"M. A.","non-dropping-particle":"","parse-names":false,"suffix":""},{"dropping-particle":"","family":"Fobert","given":"P.","non-dropping-particle":"","parse-names":false,"suffix":""},{"dropping-particle":"","family":"Mietkiewska","given":"E.","non-dropping-particle":"","parse-names":false,"suffix":""},{"dropping-particle":"","family":"Weselake","given":"R. J.","non-dropping-particle":"","parse-names":false,"suffix":""}],"container-title":"Comprehensive Biotechnology, Second Edition","edition":"Second Edition","id":"ITEM-1","issued":{"date-parts":[["2011"]]},"number-of-pages":"67-85","publisher":"Elsevier B.V.","title":"Metabolic Engineering of Higher Plants to Produce Bio-Industrial Oils","type":"book","volume":"4"},"uris":["http://www.mendeley.com/documents/?uuid=7cf9eaa7-f592-4768-9459-8e4c99884c6b"]}],"mendeley":{"formattedCitation":"[5]","plainTextFormattedCitation":"[5]","previouslyFormattedCitation":"[4]"},"properties":{"noteIndex":0},"schema":"https://github.com/citation-style-language/schema/raw/master/csl-citation.json"}</w:instrText>
      </w:r>
      <w:r w:rsidRPr="00B22A97">
        <w:rPr>
          <w:rFonts w:ascii="Times New Roman" w:eastAsia="Times New Roman" w:hAnsi="Times New Roman" w:cs="Times New Roman"/>
          <w:sz w:val="20"/>
          <w:szCs w:val="20"/>
          <w:lang w:val="id" w:eastAsia="id-ID"/>
        </w:rPr>
        <w:fldChar w:fldCharType="separate"/>
      </w:r>
      <w:r w:rsidRPr="00B22A97">
        <w:rPr>
          <w:rFonts w:ascii="Times New Roman" w:eastAsia="Times New Roman" w:hAnsi="Times New Roman" w:cs="Times New Roman"/>
          <w:sz w:val="20"/>
          <w:szCs w:val="20"/>
          <w:lang w:val="id" w:eastAsia="id-ID"/>
        </w:rPr>
        <w:t xml:space="preserve">[5] </w:t>
      </w:r>
      <w:r w:rsidRPr="00B22A97">
        <w:rPr>
          <w:rFonts w:ascii="Times New Roman" w:eastAsia="Times New Roman" w:hAnsi="Times New Roman" w:cs="Times New Roman"/>
          <w:sz w:val="20"/>
          <w:szCs w:val="20"/>
          <w:lang w:eastAsia="id-ID"/>
        </w:rPr>
        <w:fldChar w:fldCharType="end"/>
      </w:r>
      <w:r w:rsidRPr="00B22A97">
        <w:rPr>
          <w:rFonts w:ascii="Times New Roman" w:eastAsia="Times New Roman" w:hAnsi="Times New Roman" w:cs="Times New Roman"/>
          <w:sz w:val="20"/>
          <w:szCs w:val="20"/>
          <w:lang w:val="id" w:eastAsia="id-ID"/>
        </w:rPr>
        <w:t xml:space="preserve">. Dekarboksilasi adalah reaksi kimia di mana gugus karboksil (-COOH) dilepaskan dari molekul sebagai karbon dioksida (CO2). Hampir semua asam karboksilat </w:t>
      </w:r>
      <w:r w:rsidRPr="00B22A97">
        <w:rPr>
          <w:rFonts w:ascii="Times New Roman" w:eastAsia="Times New Roman" w:hAnsi="Times New Roman" w:cs="Times New Roman"/>
          <w:sz w:val="20"/>
          <w:szCs w:val="20"/>
          <w:lang w:val="id" w:eastAsia="id-ID"/>
        </w:rPr>
        <w:t>ketika dipanaskan pada suhu tinggi mengalami reaksi dekarboksilasi termal. Reaksi dekarboksilasi sering memerlukan pemanasan ekstensif dalam pelarut dengan titik didih tinggi. Dibandingkan dengan proses reaksi Hidrodeoksigenasi (HDO), reaksi dekarboksilasi (deCOx) memerlukan lebih sedikit atau tidak ada senyawa hidrogen yang membuat prosesnya lebih murah. Keuntungan lain dari dekarboksilasi adalah dapat terjadi pada tekanan yang relatif rendah.</w:t>
      </w:r>
    </w:p>
    <w:p w14:paraId="5712D1A0" w14:textId="77777777" w:rsidR="00810CA8"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Chen dkk. (2016) melaporkan bahwa dekarboksilasi atau dekarbonilasi merupakan reaksi yang sensitif terhadap suhu karena keduanya merupakan reaksi endotermik yang membutuhkan suhu lebih tinggi. Sementara itu, hidrodeoksigenasi merupakan reaksi eksotermik. Dekarboksilasi termal asam lemak dan esternya menghasilkan rendemen hidrokarbon yang lebih rendah pada suhu sedang (&lt;400 °C), yang jelas menunjukkan bahwa proses ini membutuhkan katalis untuk meningkatkan laju reaksi.</w:t>
      </w:r>
    </w:p>
    <w:p w14:paraId="5EF6E3F7" w14:textId="22EB9364" w:rsidR="00810CA8"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Aktivitas katalitik yang diharapkan dalam reaksi dekarboksilasi ini adalah aktivitas pemotongan ikatan C=O yang tinggi untuk dekarboksilasi dan aktivitas fraktur CC yang rendah. Titanium dioksida (TiO2 </w:t>
      </w:r>
      <w:r w:rsidRPr="00B22A97">
        <w:rPr>
          <w:rFonts w:ascii="Times New Roman" w:eastAsia="Times New Roman" w:hAnsi="Times New Roman" w:cs="Times New Roman"/>
          <w:sz w:val="20"/>
          <w:szCs w:val="20"/>
          <w:vertAlign w:val="subscript"/>
          <w:lang w:val="id" w:eastAsia="id-ID"/>
        </w:rPr>
        <w:t xml:space="preserve">) </w:t>
      </w:r>
      <w:r w:rsidRPr="00B22A97">
        <w:rPr>
          <w:rFonts w:ascii="Times New Roman" w:eastAsia="Times New Roman" w:hAnsi="Times New Roman" w:cs="Times New Roman"/>
          <w:sz w:val="20"/>
          <w:szCs w:val="20"/>
          <w:lang w:val="id" w:eastAsia="id-ID"/>
        </w:rPr>
        <w:t xml:space="preserve">banyak digunakan sebagai katalis karena senyawa TiO2 </w:t>
      </w:r>
      <w:r w:rsidRPr="00B22A97">
        <w:rPr>
          <w:rFonts w:ascii="Times New Roman" w:eastAsia="Times New Roman" w:hAnsi="Times New Roman" w:cs="Times New Roman"/>
          <w:sz w:val="20"/>
          <w:szCs w:val="20"/>
          <w:vertAlign w:val="subscript"/>
          <w:lang w:val="id" w:eastAsia="id-ID"/>
        </w:rPr>
        <w:t xml:space="preserve">bersifat </w:t>
      </w:r>
      <w:r w:rsidRPr="00B22A97">
        <w:rPr>
          <w:rFonts w:ascii="Times New Roman" w:eastAsia="Times New Roman" w:hAnsi="Times New Roman" w:cs="Times New Roman"/>
          <w:sz w:val="20"/>
          <w:szCs w:val="20"/>
          <w:lang w:val="id" w:eastAsia="id-ID"/>
        </w:rPr>
        <w:t>inert, memiliki stabilitas termal yang baik, tidak beracun, tahan terhadap suhu tinggi, dan memiliki aktivitas katalis yang baik. Penelitian ini bertujuan untuk meningkatkan kompatibilitas dalam matriks karet minyak nabati dengan modifikasi kimia untuk mendapatkan hidrokarbon yang setara dengan minyak bumi melalui proses dekarboksilasi pada berbagai suhu dengan menggunakan TiO</w:t>
      </w:r>
      <w:r w:rsidRPr="00810CA8">
        <w:rPr>
          <w:rFonts w:ascii="Times New Roman" w:eastAsia="Times New Roman" w:hAnsi="Times New Roman" w:cs="Times New Roman"/>
          <w:sz w:val="20"/>
          <w:szCs w:val="20"/>
          <w:vertAlign w:val="subscript"/>
          <w:lang w:val="id" w:eastAsia="id-ID"/>
        </w:rPr>
        <w:t>2</w:t>
      </w:r>
      <w:r w:rsidRPr="00810CA8">
        <w:rPr>
          <w:rFonts w:ascii="Times New Roman" w:eastAsia="Times New Roman" w:hAnsi="Times New Roman" w:cs="Times New Roman"/>
          <w:sz w:val="20"/>
          <w:szCs w:val="20"/>
          <w:lang w:val="id" w:eastAsia="id-ID"/>
        </w:rPr>
        <w:t xml:space="preserve"> sebagai</w:t>
      </w:r>
      <w:r w:rsidRPr="00B22A97">
        <w:rPr>
          <w:rFonts w:ascii="Times New Roman" w:eastAsia="Times New Roman" w:hAnsi="Times New Roman" w:cs="Times New Roman"/>
          <w:sz w:val="20"/>
          <w:szCs w:val="20"/>
          <w:vertAlign w:val="subscript"/>
          <w:lang w:val="id" w:eastAsia="id-ID"/>
        </w:rPr>
        <w:t xml:space="preserve"> </w:t>
      </w:r>
      <w:r w:rsidRPr="00B22A97">
        <w:rPr>
          <w:rFonts w:ascii="Times New Roman" w:eastAsia="Times New Roman" w:hAnsi="Times New Roman" w:cs="Times New Roman"/>
          <w:sz w:val="20"/>
          <w:szCs w:val="20"/>
          <w:lang w:val="id" w:eastAsia="id-ID"/>
        </w:rPr>
        <w:t>katalis.</w:t>
      </w:r>
    </w:p>
    <w:p w14:paraId="4282330D" w14:textId="77777777" w:rsidR="00810CA8" w:rsidRPr="00B22A97" w:rsidRDefault="00810CA8" w:rsidP="00810CA8">
      <w:pPr>
        <w:spacing w:after="0" w:line="240" w:lineRule="auto"/>
        <w:ind w:firstLine="567"/>
        <w:jc w:val="both"/>
        <w:rPr>
          <w:rFonts w:ascii="Times New Roman" w:eastAsia="Times New Roman" w:hAnsi="Times New Roman" w:cs="Times New Roman"/>
          <w:sz w:val="20"/>
          <w:szCs w:val="20"/>
          <w:lang w:val="id" w:eastAsia="id-ID"/>
        </w:rPr>
      </w:pPr>
    </w:p>
    <w:p w14:paraId="2A403451" w14:textId="77777777" w:rsidR="00B22A97" w:rsidRPr="00B22A97" w:rsidRDefault="00B22A97" w:rsidP="00A134BD">
      <w:pPr>
        <w:spacing w:before="100" w:beforeAutospacing="1" w:after="100" w:afterAutospacing="1" w:line="240" w:lineRule="auto"/>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b/>
          <w:sz w:val="20"/>
          <w:szCs w:val="20"/>
          <w:lang w:val="id" w:eastAsia="id-ID"/>
        </w:rPr>
        <w:t>2. METODE EKSPERIMENTAL​</w:t>
      </w:r>
    </w:p>
    <w:p w14:paraId="7C23D4D3" w14:textId="77777777" w:rsidR="00B22A97" w:rsidRPr="00B22A97" w:rsidRDefault="00B22A97" w:rsidP="00A134BD">
      <w:pPr>
        <w:spacing w:before="100" w:beforeAutospacing="1" w:after="100" w:afterAutospacing="1" w:line="240" w:lineRule="auto"/>
        <w:jc w:val="both"/>
        <w:rPr>
          <w:rFonts w:ascii="Times New Roman" w:eastAsia="Times New Roman" w:hAnsi="Times New Roman" w:cs="Times New Roman"/>
          <w:b/>
          <w:sz w:val="20"/>
          <w:szCs w:val="20"/>
          <w:lang w:val="en-US" w:eastAsia="id-ID"/>
        </w:rPr>
      </w:pPr>
      <w:r w:rsidRPr="00B22A97">
        <w:rPr>
          <w:rFonts w:ascii="Times New Roman" w:eastAsia="Times New Roman" w:hAnsi="Times New Roman" w:cs="Times New Roman"/>
          <w:b/>
          <w:sz w:val="20"/>
          <w:szCs w:val="20"/>
          <w:lang w:val="en-US" w:eastAsia="id-ID"/>
        </w:rPr>
        <w:t>2.1. Bahan</w:t>
      </w:r>
    </w:p>
    <w:p w14:paraId="05A894D9" w14:textId="77777777" w:rsidR="00B22A97" w:rsidRPr="00B22A97" w:rsidRDefault="00B22A97" w:rsidP="00B22A97">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Bahan-bahan yang digunakan adalah minyak sawit, minyak jagung, minyak bunga matahari , TiO2 </w:t>
      </w:r>
      <w:r w:rsidRPr="00B22A97">
        <w:rPr>
          <w:rFonts w:ascii="Times New Roman" w:eastAsia="Times New Roman" w:hAnsi="Times New Roman" w:cs="Times New Roman"/>
          <w:sz w:val="20"/>
          <w:szCs w:val="20"/>
          <w:vertAlign w:val="subscript"/>
          <w:lang w:val="id" w:eastAsia="id-ID"/>
        </w:rPr>
        <w:t xml:space="preserve">, </w:t>
      </w:r>
      <w:r w:rsidRPr="00B22A97">
        <w:rPr>
          <w:rFonts w:ascii="Times New Roman" w:eastAsia="Times New Roman" w:hAnsi="Times New Roman" w:cs="Times New Roman"/>
          <w:sz w:val="20"/>
          <w:szCs w:val="20"/>
          <w:lang w:val="id" w:eastAsia="id-ID"/>
        </w:rPr>
        <w:t>dan akuades. Minyak-minyak ini diperoleh dari pasar di Indonesia.</w:t>
      </w:r>
    </w:p>
    <w:p w14:paraId="2F62F56A" w14:textId="77777777" w:rsidR="00B22A97" w:rsidRPr="00B22A97" w:rsidRDefault="00B22A97" w:rsidP="00A134BD">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iCs/>
          <w:sz w:val="20"/>
          <w:szCs w:val="20"/>
          <w:lang w:val="id" w:eastAsia="id-ID"/>
        </w:rPr>
        <w:t>2.2. Prosedur Pengujian</w:t>
      </w:r>
    </w:p>
    <w:p w14:paraId="026DC046" w14:textId="77777777" w:rsidR="00B22A97" w:rsidRPr="00B22A97" w:rsidRDefault="00B22A97" w:rsidP="00A134BD">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2.2.1 Persiapan bahan</w:t>
      </w:r>
    </w:p>
    <w:p w14:paraId="1172D689" w14:textId="77777777" w:rsidR="00A134BD" w:rsidRDefault="00B22A97" w:rsidP="00A134BD">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Disiapkan 200 ml minyak sawit, minyak jagung, dan minyak biji bunga matahari masing-masing dalam gelas kimia. Kemudian, katalis TiO</w:t>
      </w:r>
      <w:r w:rsidRPr="00A134BD">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xml:space="preserve"> </w:t>
      </w:r>
      <w:r w:rsidRPr="00B22A97">
        <w:rPr>
          <w:rFonts w:ascii="Times New Roman" w:eastAsia="Times New Roman" w:hAnsi="Times New Roman" w:cs="Times New Roman"/>
          <w:sz w:val="20"/>
          <w:szCs w:val="20"/>
          <w:vertAlign w:val="subscript"/>
          <w:lang w:val="id" w:eastAsia="id-ID"/>
        </w:rPr>
        <w:t xml:space="preserve">disiapkan </w:t>
      </w:r>
      <w:r w:rsidRPr="00B22A97">
        <w:rPr>
          <w:rFonts w:ascii="Times New Roman" w:eastAsia="Times New Roman" w:hAnsi="Times New Roman" w:cs="Times New Roman"/>
          <w:sz w:val="20"/>
          <w:szCs w:val="20"/>
          <w:lang w:val="id" w:eastAsia="id-ID"/>
        </w:rPr>
        <w:t xml:space="preserve">dengan menimbang 5% berat masing-masing sampel minyak menggunakan neraca analitik. </w:t>
      </w:r>
    </w:p>
    <w:p w14:paraId="4775EBF6" w14:textId="318360BC" w:rsidR="00B22A97" w:rsidRPr="00B22A97" w:rsidRDefault="00A134BD" w:rsidP="00A134BD">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Pr>
          <w:rFonts w:ascii="Times New Roman" w:eastAsia="Times New Roman" w:hAnsi="Times New Roman" w:cs="Times New Roman"/>
          <w:sz w:val="20"/>
          <w:szCs w:val="20"/>
          <w:lang w:eastAsia="id-ID"/>
        </w:rPr>
        <w:t xml:space="preserve">Rancangan </w:t>
      </w:r>
      <w:r w:rsidR="00B22A97" w:rsidRPr="00B22A97">
        <w:rPr>
          <w:rFonts w:ascii="Times New Roman" w:eastAsia="Times New Roman" w:hAnsi="Times New Roman" w:cs="Times New Roman"/>
          <w:sz w:val="20"/>
          <w:szCs w:val="20"/>
          <w:lang w:val="id" w:eastAsia="id-ID"/>
        </w:rPr>
        <w:t>penelitian eksperimental dapat dilihat pada Gambar 1.</w:t>
      </w:r>
    </w:p>
    <w:p w14:paraId="11EA0E7E" w14:textId="1A157EE5" w:rsidR="00B22A97" w:rsidRPr="00B22A97" w:rsidRDefault="00B22A97" w:rsidP="00810CA8">
      <w:pPr>
        <w:spacing w:before="100" w:beforeAutospacing="1" w:after="100" w:afterAutospacing="1" w:line="240" w:lineRule="auto"/>
        <w:jc w:val="both"/>
        <w:rPr>
          <w:rFonts w:ascii="Times New Roman" w:eastAsia="Times New Roman" w:hAnsi="Times New Roman" w:cs="Times New Roman"/>
          <w:sz w:val="20"/>
          <w:szCs w:val="20"/>
          <w:lang w:val="id" w:eastAsia="id-ID"/>
        </w:rPr>
      </w:pPr>
    </w:p>
    <w:p w14:paraId="4584CA2F" w14:textId="523162DA" w:rsidR="00B22A97" w:rsidRPr="00B22A97" w:rsidRDefault="00810CA8" w:rsidP="00810CA8">
      <w:pPr>
        <w:spacing w:before="100" w:beforeAutospacing="1" w:after="100" w:afterAutospacing="1" w:line="240" w:lineRule="auto"/>
        <w:ind w:firstLine="567"/>
        <w:jc w:val="center"/>
        <w:rPr>
          <w:rFonts w:ascii="Times New Roman" w:eastAsia="Times New Roman" w:hAnsi="Times New Roman" w:cs="Times New Roman"/>
          <w:sz w:val="20"/>
          <w:szCs w:val="20"/>
          <w:lang w:val="id" w:eastAsia="id-ID"/>
        </w:rPr>
      </w:pPr>
      <w:r>
        <w:rPr>
          <w:noProof/>
          <w:lang w:eastAsia="id-ID"/>
        </w:rPr>
        <w:lastRenderedPageBreak/>
        <w:drawing>
          <wp:inline distT="0" distB="0" distL="0" distR="0" wp14:anchorId="077EE23C" wp14:editId="7B6739D3">
            <wp:extent cx="2848610" cy="408241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48610" cy="4082415"/>
                    </a:xfrm>
                    <a:prstGeom prst="rect">
                      <a:avLst/>
                    </a:prstGeom>
                  </pic:spPr>
                </pic:pic>
              </a:graphicData>
            </a:graphic>
          </wp:inline>
        </w:drawing>
      </w:r>
      <w:r>
        <w:rPr>
          <w:rFonts w:ascii="Times New Roman" w:eastAsia="Times New Roman" w:hAnsi="Times New Roman" w:cs="Times New Roman"/>
          <w:sz w:val="20"/>
          <w:szCs w:val="20"/>
          <w:lang w:eastAsia="id-ID"/>
        </w:rPr>
        <w:t>G</w:t>
      </w:r>
      <w:r w:rsidR="00B22A97" w:rsidRPr="00B22A97">
        <w:rPr>
          <w:rFonts w:ascii="Times New Roman" w:eastAsia="Times New Roman" w:hAnsi="Times New Roman" w:cs="Times New Roman"/>
          <w:sz w:val="20"/>
          <w:szCs w:val="20"/>
          <w:lang w:val="id" w:eastAsia="id-ID"/>
        </w:rPr>
        <w:t>ambar 1. Diagram Alir Penelitian</w:t>
      </w:r>
    </w:p>
    <w:p w14:paraId="2E6BC5C8" w14:textId="77777777" w:rsidR="000779A6" w:rsidRDefault="00B22A97" w:rsidP="000779A6">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2.2.2 Proses Aktivasi Fisik Katalis TiO</w:t>
      </w:r>
      <w:r w:rsidRPr="00810CA8">
        <w:rPr>
          <w:rFonts w:ascii="Times New Roman" w:eastAsia="Times New Roman" w:hAnsi="Times New Roman" w:cs="Times New Roman"/>
          <w:b/>
          <w:sz w:val="20"/>
          <w:szCs w:val="20"/>
          <w:vertAlign w:val="subscript"/>
          <w:lang w:val="id" w:eastAsia="id-ID"/>
        </w:rPr>
        <w:t xml:space="preserve">2 </w:t>
      </w:r>
    </w:p>
    <w:p w14:paraId="3A24CAFD" w14:textId="68ABA72E" w:rsidR="00B22A97" w:rsidRPr="00B22A97" w:rsidRDefault="00B22A97" w:rsidP="000779A6">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0779A6">
        <w:rPr>
          <w:rFonts w:ascii="Times New Roman" w:eastAsia="Times New Roman" w:hAnsi="Times New Roman" w:cs="Times New Roman"/>
          <w:sz w:val="20"/>
          <w:szCs w:val="20"/>
          <w:lang w:val="id" w:eastAsia="id-ID"/>
        </w:rPr>
        <w:t xml:space="preserve">Katalis </w:t>
      </w:r>
      <w:r w:rsidR="000779A6" w:rsidRPr="000779A6">
        <w:rPr>
          <w:rFonts w:ascii="Times New Roman" w:eastAsia="Times New Roman" w:hAnsi="Times New Roman" w:cs="Times New Roman"/>
          <w:sz w:val="20"/>
          <w:szCs w:val="20"/>
          <w:lang w:eastAsia="id-ID"/>
        </w:rPr>
        <w:t>TiO</w:t>
      </w:r>
      <w:r w:rsidR="000779A6" w:rsidRPr="000779A6">
        <w:rPr>
          <w:rFonts w:ascii="Times New Roman" w:eastAsia="Times New Roman" w:hAnsi="Times New Roman" w:cs="Times New Roman"/>
          <w:sz w:val="20"/>
          <w:szCs w:val="20"/>
          <w:vertAlign w:val="subscript"/>
          <w:lang w:eastAsia="id-ID"/>
        </w:rPr>
        <w:t>2</w:t>
      </w:r>
      <w:r w:rsidR="000779A6" w:rsidRPr="000779A6">
        <w:rPr>
          <w:rFonts w:ascii="Times New Roman" w:eastAsia="Times New Roman" w:hAnsi="Times New Roman" w:cs="Times New Roman"/>
          <w:sz w:val="20"/>
          <w:szCs w:val="20"/>
          <w:lang w:val="id" w:eastAsia="id-ID"/>
        </w:rPr>
        <w:t xml:space="preserve"> diaktivasi secara fisik dalam oven pada suhu 110 °c selama </w:t>
      </w:r>
      <w:r w:rsidRPr="000779A6">
        <w:rPr>
          <w:rFonts w:ascii="Times New Roman" w:eastAsia="Times New Roman" w:hAnsi="Times New Roman" w:cs="Times New Roman"/>
          <w:sz w:val="20"/>
          <w:szCs w:val="20"/>
          <w:lang w:val="id" w:eastAsia="id-ID"/>
        </w:rPr>
        <w:sym w:font="Symbol" w:char="F0B0"/>
      </w:r>
      <w:r w:rsidR="000779A6" w:rsidRPr="000779A6">
        <w:rPr>
          <w:rFonts w:ascii="Times New Roman" w:eastAsia="Times New Roman" w:hAnsi="Times New Roman" w:cs="Times New Roman"/>
          <w:sz w:val="20"/>
          <w:szCs w:val="20"/>
          <w:lang w:val="id" w:eastAsia="id-ID"/>
        </w:rPr>
        <w:t xml:space="preserve">2 jam sebelum digunakan dalam setiap minyak nabati. </w:t>
      </w:r>
      <w:r w:rsidRPr="000779A6">
        <w:rPr>
          <w:rFonts w:ascii="Times New Roman" w:eastAsia="Times New Roman" w:hAnsi="Times New Roman" w:cs="Times New Roman"/>
          <w:sz w:val="20"/>
          <w:szCs w:val="20"/>
          <w:lang w:val="id" w:eastAsia="id-ID"/>
        </w:rPr>
        <w:t xml:space="preserve">Setelah </w:t>
      </w:r>
      <w:r w:rsidR="000779A6" w:rsidRPr="000779A6">
        <w:rPr>
          <w:rFonts w:ascii="Times New Roman" w:eastAsia="Times New Roman" w:hAnsi="Times New Roman" w:cs="Times New Roman"/>
          <w:sz w:val="20"/>
          <w:szCs w:val="20"/>
          <w:lang w:val="id" w:eastAsia="id-ID"/>
        </w:rPr>
        <w:t>diaktivasi, katalis ditimbang sebanyak 5% dari berat minyak.</w:t>
      </w:r>
    </w:p>
    <w:p w14:paraId="308C2FCA" w14:textId="77777777" w:rsidR="00B22A97" w:rsidRPr="00B22A97" w:rsidRDefault="00B22A97" w:rsidP="000779A6">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2.2.3 Proses Dekarboksilasi Minyak Nabati</w:t>
      </w:r>
    </w:p>
    <w:p w14:paraId="0ED85DFA" w14:textId="2E461374" w:rsidR="00B22A97" w:rsidRPr="000779A6" w:rsidRDefault="00B22A97" w:rsidP="000779A6">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Sebanyak 200 ml sampel minyak sawit, minyak jagung, dan minyak biji bunga matahari dimasukkan ke dalam gelas kimia berisi katalis TiO</w:t>
      </w:r>
      <w:r w:rsidRPr="000779A6">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xml:space="preserve">. Kemudian, minyak dan katalis </w:t>
      </w:r>
      <w:r w:rsidRPr="000779A6">
        <w:rPr>
          <w:rFonts w:ascii="Times New Roman" w:eastAsia="Times New Roman" w:hAnsi="Times New Roman" w:cs="Times New Roman"/>
          <w:sz w:val="20"/>
          <w:szCs w:val="20"/>
          <w:lang w:val="id" w:eastAsia="id-ID"/>
        </w:rPr>
        <w:t>TiO</w:t>
      </w:r>
      <w:r w:rsidRPr="000779A6">
        <w:rPr>
          <w:rFonts w:ascii="Times New Roman" w:eastAsia="Times New Roman" w:hAnsi="Times New Roman" w:cs="Times New Roman"/>
          <w:sz w:val="20"/>
          <w:szCs w:val="20"/>
          <w:vertAlign w:val="subscript"/>
          <w:lang w:val="id" w:eastAsia="id-ID"/>
        </w:rPr>
        <w:t>2</w:t>
      </w:r>
      <w:r w:rsidRPr="000779A6">
        <w:rPr>
          <w:rFonts w:ascii="Times New Roman" w:eastAsia="Times New Roman" w:hAnsi="Times New Roman" w:cs="Times New Roman"/>
          <w:sz w:val="20"/>
          <w:szCs w:val="20"/>
          <w:lang w:val="id" w:eastAsia="id-ID"/>
        </w:rPr>
        <w:t xml:space="preserve"> diaduk</w:t>
      </w:r>
      <w:r w:rsidRPr="00B22A97">
        <w:rPr>
          <w:rFonts w:ascii="Times New Roman" w:eastAsia="Times New Roman" w:hAnsi="Times New Roman" w:cs="Times New Roman"/>
          <w:sz w:val="20"/>
          <w:szCs w:val="20"/>
          <w:vertAlign w:val="subscript"/>
          <w:lang w:val="id" w:eastAsia="id-ID"/>
        </w:rPr>
        <w:t xml:space="preserve"> </w:t>
      </w:r>
      <w:r w:rsidRPr="00B22A97">
        <w:rPr>
          <w:rFonts w:ascii="Times New Roman" w:eastAsia="Times New Roman" w:hAnsi="Times New Roman" w:cs="Times New Roman"/>
          <w:sz w:val="20"/>
          <w:szCs w:val="20"/>
          <w:lang w:val="id" w:eastAsia="id-ID"/>
        </w:rPr>
        <w:t>hingga tercampur rata menggunakan batang pengaduk. Kemudian, pelat pemanas dinyalakan dan pengaduk magnetik dimasukkan ke dalam gelas kimia berisi sampel minyak yang akan didekarboksilasi. Kecepatan pengadukan diatur konstan pada 200 rpm (Yang dkk., 2017). Sampel minyak dipanaskan menggunakan pelat pemanas dari suhu ruang hingga mencapai suhu operasi yang diinginkan, yaitu 250 ºC, 300 ºC, dan 350ºC, yang dipilih berdasarkan titik didih masing-masing minyak nabati.</w:t>
      </w:r>
      <w:r w:rsidRPr="00B22A97">
        <w:rPr>
          <w:rFonts w:ascii="Times New Roman" w:eastAsia="Times New Roman" w:hAnsi="Times New Roman" w:cs="Times New Roman"/>
          <w:b/>
          <w:sz w:val="20"/>
          <w:szCs w:val="20"/>
          <w:lang w:val="id" w:eastAsia="id-ID"/>
        </w:rPr>
        <w:t xml:space="preserve"> </w:t>
      </w:r>
      <w:r w:rsidRPr="00B22A97">
        <w:rPr>
          <w:rFonts w:ascii="Times New Roman" w:eastAsia="Times New Roman" w:hAnsi="Times New Roman" w:cs="Times New Roman"/>
          <w:sz w:val="20"/>
          <w:szCs w:val="20"/>
          <w:lang w:val="id" w:eastAsia="id-ID"/>
        </w:rPr>
        <w:t>Setelah suhu operasi tercapai, reaksi dipertahankan selama 3 jam. Setelah reaksi selesai, minyak dibiarkan pada suhu tinggi selama beberapa saat agar suhunya turun.</w:t>
      </w:r>
    </w:p>
    <w:p w14:paraId="1D99F386" w14:textId="602EA62A" w:rsidR="00B22A97" w:rsidRPr="00B22A97" w:rsidRDefault="00B22A97" w:rsidP="000779A6">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2.2.4</w:t>
      </w:r>
      <w:r w:rsidR="000779A6">
        <w:rPr>
          <w:rFonts w:ascii="Times New Roman" w:eastAsia="Times New Roman" w:hAnsi="Times New Roman" w:cs="Times New Roman"/>
          <w:b/>
          <w:sz w:val="20"/>
          <w:szCs w:val="20"/>
          <w:lang w:eastAsia="id-ID"/>
        </w:rPr>
        <w:t>.</w:t>
      </w:r>
      <w:r w:rsidRPr="00B22A97">
        <w:rPr>
          <w:rFonts w:ascii="Times New Roman" w:eastAsia="Times New Roman" w:hAnsi="Times New Roman" w:cs="Times New Roman"/>
          <w:b/>
          <w:sz w:val="20"/>
          <w:szCs w:val="20"/>
          <w:lang w:val="id" w:eastAsia="id-ID"/>
        </w:rPr>
        <w:t xml:space="preserve"> Proses Pemisahan Produk Dekarboksilasi</w:t>
      </w:r>
    </w:p>
    <w:p w14:paraId="08DAED39" w14:textId="51651AE3" w:rsidR="00B22A97" w:rsidRPr="00B22A97" w:rsidRDefault="00B22A97" w:rsidP="000779A6">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Sampel minyak dipisahkan dengan sedimentasi selama 1 hari menggunakan prinsip perbedaan densitas </w:t>
      </w:r>
      <w:r w:rsidRPr="00B22A97">
        <w:rPr>
          <w:rFonts w:ascii="Times New Roman" w:eastAsia="Times New Roman" w:hAnsi="Times New Roman" w:cs="Times New Roman"/>
          <w:sz w:val="20"/>
          <w:szCs w:val="20"/>
          <w:lang w:val="id" w:eastAsia="id-ID"/>
        </w:rPr>
        <w:t>dan gravitasi, sehingga katalis TiO</w:t>
      </w:r>
      <w:r w:rsidRPr="000779A6">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xml:space="preserve"> </w:t>
      </w:r>
      <w:r w:rsidRPr="000779A6">
        <w:rPr>
          <w:rFonts w:ascii="Times New Roman" w:eastAsia="Times New Roman" w:hAnsi="Times New Roman" w:cs="Times New Roman"/>
          <w:sz w:val="20"/>
          <w:szCs w:val="20"/>
          <w:lang w:val="id" w:eastAsia="id-ID"/>
        </w:rPr>
        <w:t>berupa</w:t>
      </w:r>
      <w:r w:rsidRPr="00B22A97">
        <w:rPr>
          <w:rFonts w:ascii="Times New Roman" w:eastAsia="Times New Roman" w:hAnsi="Times New Roman" w:cs="Times New Roman"/>
          <w:sz w:val="20"/>
          <w:szCs w:val="20"/>
          <w:vertAlign w:val="subscript"/>
          <w:lang w:val="id" w:eastAsia="id-ID"/>
        </w:rPr>
        <w:t xml:space="preserve"> </w:t>
      </w:r>
      <w:r w:rsidRPr="00B22A97">
        <w:rPr>
          <w:rFonts w:ascii="Times New Roman" w:eastAsia="Times New Roman" w:hAnsi="Times New Roman" w:cs="Times New Roman"/>
          <w:sz w:val="20"/>
          <w:szCs w:val="20"/>
          <w:lang w:val="id" w:eastAsia="id-ID"/>
        </w:rPr>
        <w:t>padatan yang mengendap. Setelah katalis TiO</w:t>
      </w:r>
      <w:r w:rsidRPr="000779A6">
        <w:rPr>
          <w:rFonts w:ascii="Times New Roman" w:eastAsia="Times New Roman" w:hAnsi="Times New Roman" w:cs="Times New Roman"/>
          <w:sz w:val="20"/>
          <w:szCs w:val="20"/>
          <w:vertAlign w:val="subscript"/>
          <w:lang w:val="id" w:eastAsia="id-ID"/>
        </w:rPr>
        <w:t>2</w:t>
      </w:r>
      <w:r w:rsidRPr="000779A6">
        <w:rPr>
          <w:rFonts w:ascii="Times New Roman" w:eastAsia="Times New Roman" w:hAnsi="Times New Roman" w:cs="Times New Roman"/>
          <w:sz w:val="20"/>
          <w:szCs w:val="20"/>
          <w:lang w:val="id" w:eastAsia="id-ID"/>
        </w:rPr>
        <w:t xml:space="preserve"> mengendap</w:t>
      </w:r>
      <w:r w:rsidRPr="00B22A97">
        <w:rPr>
          <w:rFonts w:ascii="Times New Roman" w:eastAsia="Times New Roman" w:hAnsi="Times New Roman" w:cs="Times New Roman"/>
          <w:sz w:val="20"/>
          <w:szCs w:val="20"/>
          <w:vertAlign w:val="subscript"/>
          <w:lang w:val="id" w:eastAsia="id-ID"/>
        </w:rPr>
        <w:t xml:space="preserve"> </w:t>
      </w:r>
      <w:r w:rsidRPr="00B22A97">
        <w:rPr>
          <w:rFonts w:ascii="Times New Roman" w:eastAsia="Times New Roman" w:hAnsi="Times New Roman" w:cs="Times New Roman"/>
          <w:sz w:val="20"/>
          <w:szCs w:val="20"/>
          <w:lang w:val="id" w:eastAsia="id-ID"/>
        </w:rPr>
        <w:t>, sampel minyak didekantasi perlahan menggunakan batang pengaduk ke dalam gelas kimia lain agar minyak terpisah dari katalis. Sedimentasi dan dekantasi dilakukan beberapa kali hingga katalis TiO</w:t>
      </w:r>
      <w:r w:rsidRPr="000779A6">
        <w:rPr>
          <w:rFonts w:ascii="Times New Roman" w:eastAsia="Times New Roman" w:hAnsi="Times New Roman" w:cs="Times New Roman"/>
          <w:sz w:val="20"/>
          <w:szCs w:val="20"/>
          <w:vertAlign w:val="subscript"/>
          <w:lang w:val="id" w:eastAsia="id-ID"/>
        </w:rPr>
        <w:t>2</w:t>
      </w:r>
      <w:r w:rsidRPr="000779A6">
        <w:rPr>
          <w:rFonts w:ascii="Times New Roman" w:eastAsia="Times New Roman" w:hAnsi="Times New Roman" w:cs="Times New Roman"/>
          <w:sz w:val="20"/>
          <w:szCs w:val="20"/>
          <w:lang w:val="id" w:eastAsia="id-ID"/>
        </w:rPr>
        <w:t xml:space="preserve"> yang</w:t>
      </w:r>
      <w:r w:rsidRPr="00B22A97">
        <w:rPr>
          <w:rFonts w:ascii="Times New Roman" w:eastAsia="Times New Roman" w:hAnsi="Times New Roman" w:cs="Times New Roman"/>
          <w:sz w:val="20"/>
          <w:szCs w:val="20"/>
          <w:vertAlign w:val="subscript"/>
          <w:lang w:val="id" w:eastAsia="id-ID"/>
        </w:rPr>
        <w:t xml:space="preserve"> </w:t>
      </w:r>
      <w:r w:rsidRPr="00B22A97">
        <w:rPr>
          <w:rFonts w:ascii="Times New Roman" w:eastAsia="Times New Roman" w:hAnsi="Times New Roman" w:cs="Times New Roman"/>
          <w:sz w:val="20"/>
          <w:szCs w:val="20"/>
          <w:lang w:val="id" w:eastAsia="id-ID"/>
        </w:rPr>
        <w:t xml:space="preserve">masih tersisa dalam sampel minyak dapat terpisah dengan baik. </w:t>
      </w:r>
    </w:p>
    <w:p w14:paraId="51CB4CB1" w14:textId="78A994F6" w:rsidR="00B22A97" w:rsidRPr="00B22A97" w:rsidRDefault="00B22A97" w:rsidP="000779A6">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2.2.5</w:t>
      </w:r>
      <w:r w:rsidR="000779A6">
        <w:rPr>
          <w:rFonts w:ascii="Times New Roman" w:eastAsia="Times New Roman" w:hAnsi="Times New Roman" w:cs="Times New Roman"/>
          <w:b/>
          <w:sz w:val="20"/>
          <w:szCs w:val="20"/>
          <w:lang w:eastAsia="id-ID"/>
        </w:rPr>
        <w:t>.</w:t>
      </w:r>
      <w:r w:rsidRPr="00B22A97">
        <w:rPr>
          <w:rFonts w:ascii="Times New Roman" w:eastAsia="Times New Roman" w:hAnsi="Times New Roman" w:cs="Times New Roman"/>
          <w:b/>
          <w:sz w:val="20"/>
          <w:szCs w:val="20"/>
          <w:lang w:val="id" w:eastAsia="id-ID"/>
        </w:rPr>
        <w:t xml:space="preserve"> Pengukuran Kepadatan</w:t>
      </w:r>
    </w:p>
    <w:p w14:paraId="5668CB15" w14:textId="626EEE66" w:rsidR="00B22A97" w:rsidRPr="00B22A97" w:rsidRDefault="00B22A97" w:rsidP="000779A6">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Uji densitas dilakukan untuk mengukur densitas produk yang telah didekarboksilasi menggunakan piknometer. Piknometer kosong ditimbang dan massanya dicatat. Kemudian, piknometer yang berisi sampel minyak yang telah didekarboksilasi ditimbang kembali dan massanya dicatat. Perhitungan densitas dilakukan dengan membagi selisih massa piknometer dengan volume piknometer.</w:t>
      </w:r>
    </w:p>
    <w:p w14:paraId="0D43CB36" w14:textId="77777777" w:rsidR="00B22A97" w:rsidRPr="00B22A97" w:rsidRDefault="00B22A97" w:rsidP="000779A6">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2.2.6 Pengukuran Viskositas</w:t>
      </w:r>
    </w:p>
    <w:p w14:paraId="71EE0281" w14:textId="5B36D706" w:rsidR="00B22A97" w:rsidRPr="00B22A97" w:rsidRDefault="00B22A97" w:rsidP="000779A6">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Uji viskositas dilakukan untuk mengukur viskositas produk yang telah didekarboksilasi menggunakan bak viskometer KV6 dengan standar ASTM D-445. Penentuan viskositas sampel dilakukan menggunakan bak viskometer dan data diperoleh berupa lamanya waktu sampel mengalir turun dari batas tabung kapiler kecil hingga ke dasar tabung kapiler kecil. Perhitungan kinematik viskositas (mm² </w:t>
      </w:r>
      <w:r w:rsidRPr="00B22A97">
        <w:rPr>
          <w:rFonts w:ascii="Times New Roman" w:eastAsia="Times New Roman" w:hAnsi="Times New Roman" w:cs="Times New Roman"/>
          <w:sz w:val="20"/>
          <w:szCs w:val="20"/>
          <w:vertAlign w:val="superscript"/>
          <w:lang w:val="id" w:eastAsia="id-ID"/>
        </w:rPr>
        <w:t xml:space="preserve">/ </w:t>
      </w:r>
      <w:r w:rsidRPr="00B22A97">
        <w:rPr>
          <w:rFonts w:ascii="Times New Roman" w:eastAsia="Times New Roman" w:hAnsi="Times New Roman" w:cs="Times New Roman"/>
          <w:sz w:val="20"/>
          <w:szCs w:val="20"/>
          <w:lang w:val="id" w:eastAsia="id-ID"/>
        </w:rPr>
        <w:t>s) dilakukan dengan mengalikan konstanta viskositas pada suhu 40 °C ((0,1001 mm²/s)/s) dengan lamanya waktu.</w:t>
      </w:r>
    </w:p>
    <w:p w14:paraId="52E2F67D" w14:textId="77777777" w:rsidR="00B22A97" w:rsidRPr="00B22A97" w:rsidRDefault="00B22A97" w:rsidP="000779A6">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2.2.7 Perhitungan Hasil Produk Dekarboksilasi</w:t>
      </w:r>
    </w:p>
    <w:p w14:paraId="54B521F4" w14:textId="54B4D45B" w:rsidR="00B22A97" w:rsidRPr="00B22A97" w:rsidRDefault="00B22A97" w:rsidP="000779A6">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Persentase hasil dapat dihitung dengan membandingkan massa produk dekarboksilasi dengan massa minyak awal.</w:t>
      </w:r>
    </w:p>
    <w:p w14:paraId="43E47651" w14:textId="77777777" w:rsidR="00B22A97" w:rsidRPr="00B22A97" w:rsidRDefault="00B22A97" w:rsidP="000779A6">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2.2.8 Perhitungan Konversi Produk Dekarboksilasi</w:t>
      </w:r>
    </w:p>
    <w:p w14:paraId="375BFF77" w14:textId="4BAA1BD0" w:rsidR="000779A6" w:rsidRPr="00B22A97" w:rsidRDefault="00B22A97" w:rsidP="00810CA8">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Tujuan perhitungan konversi adalah untuk mengetahui jumlah senyawa hidrokarbon yang terbentuk dari reaktan awal, yaitu minyak nabati. Perhitungan konversi dilakukan dengan membagi massa yang bereaksi dengan massa berat awal.</w:t>
      </w:r>
    </w:p>
    <w:p w14:paraId="35E26127" w14:textId="77777777" w:rsidR="00B22A97" w:rsidRPr="00B22A97" w:rsidRDefault="00B22A97" w:rsidP="00B22A97">
      <w:pPr>
        <w:numPr>
          <w:ilvl w:val="0"/>
          <w:numId w:val="18"/>
        </w:num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Hasil dan Pembahasan</w:t>
      </w:r>
    </w:p>
    <w:p w14:paraId="48B5DA2D" w14:textId="77777777" w:rsidR="00B22A97" w:rsidRPr="00B22A97" w:rsidRDefault="00B22A97" w:rsidP="00B22A97">
      <w:pPr>
        <w:spacing w:before="100" w:beforeAutospacing="1" w:after="100" w:afterAutospacing="1" w:line="240" w:lineRule="auto"/>
        <w:ind w:firstLine="567"/>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3.1 Pengaruh Suhu Reaksi terhadap Densitas Minyak Dekarboksilasi yang Dihasilkan</w:t>
      </w:r>
    </w:p>
    <w:p w14:paraId="037FD55B" w14:textId="77777777" w:rsidR="00B22A97" w:rsidRDefault="00B22A97" w:rsidP="00B22A97">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Kepadatan suatu bahan tidak sama di setiap bagiannya, tergantung pada faktor lingkungan seperti suhu dan tekanan. Kepadatan minyak nabati akan menurun seiring dengan meningkatnya suhu. Penurunan kepadatan ini disebabkan oleh peningkatan volume minyak dengan massa konstan pada suhu tinggi. Berdasarkan perhitungan nilai kepadatan dari tiga jenis minyak nabati dalam penelitian ini, dapat dilihat bahwa ada fenomena penurunan nilai kepadatan karena </w:t>
      </w:r>
      <w:r w:rsidRPr="00B22A97">
        <w:rPr>
          <w:rFonts w:ascii="Times New Roman" w:eastAsia="Times New Roman" w:hAnsi="Times New Roman" w:cs="Times New Roman"/>
          <w:sz w:val="20"/>
          <w:szCs w:val="20"/>
          <w:lang w:val="id" w:eastAsia="id-ID"/>
        </w:rPr>
        <w:lastRenderedPageBreak/>
        <w:t>peningkatan suhu reaksi selama proses. Hal ini dapat dilihat pada Gambar 2 di bawah ini yang menyatakan hubungan kepadatan dengan suhu reaksi proses dekarboksilasi beberapa asam lemak.</w:t>
      </w:r>
    </w:p>
    <w:p w14:paraId="663B5E45" w14:textId="5178EF35" w:rsidR="00B22A97" w:rsidRPr="00B22A97" w:rsidRDefault="00D32DFE" w:rsidP="000779A6">
      <w:pPr>
        <w:spacing w:before="100" w:beforeAutospacing="1" w:after="100" w:afterAutospacing="1" w:line="240" w:lineRule="auto"/>
        <w:jc w:val="both"/>
        <w:rPr>
          <w:rFonts w:ascii="Times New Roman" w:eastAsia="Times New Roman" w:hAnsi="Times New Roman" w:cs="Times New Roman"/>
          <w:sz w:val="20"/>
          <w:szCs w:val="20"/>
          <w:lang w:val="id" w:eastAsia="id-ID"/>
        </w:rPr>
      </w:pPr>
      <w:r>
        <w:rPr>
          <w:noProof/>
          <w:lang w:eastAsia="id-ID"/>
        </w:rPr>
        <w:drawing>
          <wp:inline distT="0" distB="0" distL="0" distR="0" wp14:anchorId="7E871C2F" wp14:editId="3C00DF83">
            <wp:extent cx="2848610" cy="1670296"/>
            <wp:effectExtent l="0" t="0" r="8890" b="6350"/>
            <wp:docPr id="18" name="Chart 1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940EBCA7-A08A-4457-8830-4B38800307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9F09DE" w14:textId="182B2534" w:rsidR="00B22A97" w:rsidRPr="00B22A97" w:rsidRDefault="00B22A97" w:rsidP="00D32DFE">
      <w:pPr>
        <w:spacing w:before="100" w:beforeAutospacing="1" w:after="100" w:afterAutospacing="1" w:line="240" w:lineRule="auto"/>
        <w:jc w:val="center"/>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b/>
          <w:sz w:val="20"/>
          <w:szCs w:val="20"/>
          <w:lang w:val="id" w:eastAsia="id-ID"/>
        </w:rPr>
        <w:t xml:space="preserve">Gambar 2. </w:t>
      </w:r>
      <w:r w:rsidRPr="00B22A97">
        <w:rPr>
          <w:rFonts w:ascii="Times New Roman" w:eastAsia="Times New Roman" w:hAnsi="Times New Roman" w:cs="Times New Roman"/>
          <w:sz w:val="20"/>
          <w:szCs w:val="20"/>
          <w:lang w:val="id" w:eastAsia="id-ID"/>
        </w:rPr>
        <w:t>Kepadatan minyak nabati sebelum dan sesudah dekarboksilasi</w:t>
      </w:r>
    </w:p>
    <w:p w14:paraId="334A5481" w14:textId="77777777" w:rsidR="00B22A97" w:rsidRPr="00B22A97" w:rsidRDefault="00B22A97" w:rsidP="000779A6">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Berdasarkan Gambar 2 di atas, densitas tertinggi diperoleh dari minyak jagung pada suhu 250ºC, yaitu 0,9556 g/ml. Sementara densitas terendah diperoleh dari minyak bunga matahari pada suhu 350ºC, yaitu 0,9262 g/ml.</w:t>
      </w:r>
    </w:p>
    <w:p w14:paraId="2E9D8FC9" w14:textId="77777777" w:rsidR="00D32DFE" w:rsidRDefault="00B22A97" w:rsidP="00D32DFE">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Perbedaan densitas pada kesembilan sampel dipengaruhi oleh berat molekul minyak. Semakin tinggi berat molekul sampel, semakin tinggi pula densitasnya, yang terjadi pada sampel minyak jagung, minyak sawit, dan minyak bunga matahari pada suhu 250ºC.</w:t>
      </w:r>
    </w:p>
    <w:p w14:paraId="67D8198E" w14:textId="77777777" w:rsidR="00810CA8"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Sementara itu, nilai minyak terdekarboksilasi yang lebih rendah pada sampel minyak pada suhu 350ºC menunjukkan berat molekul minyak yang lebih rendah. Hal ini menunjukkan bahwa reaksi dekarboksilasi berlangsung cukup baik pada kondisi operasi tersebut, karena beberapa asam lemak bebas yang terkandung seperti oleat, linoleat, dan palmitat mengalami dekarboksilasi sehingga berat molekul minyak menjadi lebih rendah. Selain itu, karena adanya endapan senyawa karbon pada beberapa sampel, densitasnya lebih tinggi, karena karbon sulit dipisahkan dari sampel hasil dekarboksilasi.</w:t>
      </w:r>
    </w:p>
    <w:p w14:paraId="3D20CBD5" w14:textId="77777777" w:rsidR="00810CA8"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Salah satu produk plasticizer yang akan digunakan sebagai pembanding minyak dekarboksilasi adalah Minarex, sehingga perlu dilakukan perbandingan sifat fisis densitas produk komersil minarex dengan minyak dekarboksilasi. Minarex terdiri dari 3 jenis yaitu minarex I, H, dan A.</w:t>
      </w:r>
    </w:p>
    <w:p w14:paraId="7E63AB95" w14:textId="77777777" w:rsidR="00810CA8"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Berdasarkan standar Minarex, dapat dilihat bahwa densitas produk dekarboksilasi hampir mendekati densitas produk Minarex komersial, yaitu berkisar antara 0,9262-0,9556 g/ml. Densitas produk dekarboksilasi ini hampir mendekati karakteristik produk komersial Minarex A dan B, terutama densitas sampel minyak pada suhu 250ºC.</w:t>
      </w:r>
    </w:p>
    <w:p w14:paraId="465B9670" w14:textId="50BA6685" w:rsidR="00B22A97" w:rsidRPr="00B22A97"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Kepadatan minyak sangat dipengaruhi oleh keberadaan katalis selama proses dekarboksilasi. Aktivitas katalis dapat memengaruhi karakteristik produk hidrokarbon yang dihasilkan. Faktor luas permukaan juga merupakan faktor yang menyebabkan penurunan kepadatan. Hal ini disebabkan oleh semakin </w:t>
      </w:r>
      <w:r w:rsidRPr="00B22A97">
        <w:rPr>
          <w:rFonts w:ascii="Times New Roman" w:eastAsia="Times New Roman" w:hAnsi="Times New Roman" w:cs="Times New Roman"/>
          <w:sz w:val="20"/>
          <w:szCs w:val="20"/>
          <w:lang w:val="id" w:eastAsia="id-ID"/>
        </w:rPr>
        <w:t>banyaknya molekul minyak nabati yang bereaksi akibat fenomena reaksi katalisis di permukaan.</w:t>
      </w:r>
    </w:p>
    <w:p w14:paraId="42A73090" w14:textId="77777777" w:rsidR="00B22A97" w:rsidRPr="00B22A97" w:rsidRDefault="00B22A97" w:rsidP="00B22A97">
      <w:pPr>
        <w:spacing w:before="100" w:beforeAutospacing="1" w:after="100" w:afterAutospacing="1" w:line="240" w:lineRule="auto"/>
        <w:ind w:firstLine="567"/>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3.2 Pengaruh Suhu Reaksi terhadap Viskositas Minyak Hasil Dekarboksilasi</w:t>
      </w:r>
    </w:p>
    <w:p w14:paraId="22FED10B" w14:textId="77777777" w:rsidR="00B22A97" w:rsidRDefault="00B22A97" w:rsidP="00B22A97">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Viskositas menggambarkan hambatan dalam fluida untuk mengalir dan dapat diartikan sebagai cara untuk mengukur gesekan fluida. Gaya tarik antarmolekul yang besar dalam cairan akan menghasilkan viskositas yang tinggi. Perbandingan viskositas beberapa sampel minyak yang telah didekarboksilasi dengan suhu reaksi dapat dilihat pada diagram pada Gambar 3 di bawah ini. </w:t>
      </w:r>
    </w:p>
    <w:p w14:paraId="19EA61A2" w14:textId="3940B1E5" w:rsidR="00B22A97" w:rsidRPr="00B22A97" w:rsidRDefault="00D32DFE" w:rsidP="00D32DFE">
      <w:pPr>
        <w:spacing w:before="100" w:beforeAutospacing="1" w:after="100" w:afterAutospacing="1" w:line="240" w:lineRule="auto"/>
        <w:jc w:val="center"/>
        <w:rPr>
          <w:rFonts w:ascii="Times New Roman" w:eastAsia="Times New Roman" w:hAnsi="Times New Roman" w:cs="Times New Roman"/>
          <w:sz w:val="20"/>
          <w:szCs w:val="20"/>
          <w:lang w:val="id" w:eastAsia="id-ID"/>
        </w:rPr>
      </w:pPr>
      <w:r>
        <w:rPr>
          <w:noProof/>
          <w:lang w:eastAsia="id-ID"/>
        </w:rPr>
        <w:drawing>
          <wp:inline distT="0" distB="0" distL="0" distR="0" wp14:anchorId="3E77096A" wp14:editId="3B83D2CD">
            <wp:extent cx="2848610" cy="1660100"/>
            <wp:effectExtent l="0" t="0" r="8890" b="16510"/>
            <wp:docPr id="39" name="Chart 3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3E82379-8C18-4982-BB78-7D37868FE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22A97" w:rsidRPr="00B22A97">
        <w:rPr>
          <w:rFonts w:ascii="Times New Roman" w:eastAsia="Times New Roman" w:hAnsi="Times New Roman" w:cs="Times New Roman"/>
          <w:b/>
          <w:sz w:val="20"/>
          <w:szCs w:val="20"/>
          <w:lang w:val="id" w:eastAsia="id-ID"/>
        </w:rPr>
        <w:t xml:space="preserve">Gambar 3. </w:t>
      </w:r>
      <w:r w:rsidR="00B22A97" w:rsidRPr="00B22A97">
        <w:rPr>
          <w:rFonts w:ascii="Times New Roman" w:eastAsia="Times New Roman" w:hAnsi="Times New Roman" w:cs="Times New Roman"/>
          <w:sz w:val="20"/>
          <w:szCs w:val="20"/>
          <w:lang w:val="id" w:eastAsia="id-ID"/>
        </w:rPr>
        <w:t>Viskositas minyak nabati sebelum dan sesudah dekarboksilasi</w:t>
      </w:r>
    </w:p>
    <w:p w14:paraId="4FB036E1" w14:textId="77777777" w:rsidR="00B22A97" w:rsidRPr="00B22A97" w:rsidRDefault="00B22A97" w:rsidP="00D32DFE">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Berdasarkan Gambar 3 di atas, viskositas minyak yang telah didekarboksilasi cenderung meningkat seiring dengan peningkatan suhu reaksi. Pada sampel minyak bunga matahari, viskositas sampel meningkat seiring dengan peningkatan suhu reaksi. Viskositas minyak bunga matahari pada suhu 250ºC adalah 43,3433 cSt. Pada suhu 300ºC, viskositas minyak bunga matahari adalah 60,5605 cSt, sedangkan nilai viskositas minyak bunga matahari tertinggi terjadi pada suhu 350ºC, yaitu sebesar 91,2912 cSt. Peningkatan viskositas pada sampel minyak yang telah didekarboksilasi dipengaruhi oleh keberadaan katalis TiO</w:t>
      </w:r>
      <w:r w:rsidRPr="00D32DFE">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xml:space="preserve"> di dalamnya. Hal ini terjadi karena katalis TiO</w:t>
      </w:r>
      <w:r w:rsidRPr="00D32DFE">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xml:space="preserve"> dengan fase padat masih terdispersi dalam sampel minyak dan masih ada beberapa yang belum terpisah dengan baik pada proses dekantasi dan sedimentasi.</w:t>
      </w:r>
    </w:p>
    <w:p w14:paraId="6BC1204E" w14:textId="77777777" w:rsidR="00810CA8"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Pada sampel minyak jagung, viskositas juga meningkat seiring dengan peningkatan suhu reaksi. Sementara itu, viskositas sampel minyak sawit tidak meningkat secara konstan, dan cenderung berfluktuasi.</w:t>
      </w:r>
    </w:p>
    <w:p w14:paraId="19712E4F" w14:textId="6B015196" w:rsidR="00D32DFE" w:rsidRPr="00B22A97" w:rsidRDefault="00B22A97" w:rsidP="00810CA8">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 xml:space="preserve">Perbedaan suhu uji viskositas menyebabkan nilai viskositas yang berbeda. Sampel minyak hasil dekarboksilasi diuji pada suhu 40ºC, sedangkan produk komersial Minarex diuji pada suhu 210ºF atau setara dengan 100ºC. Hal ini menyebabkan viskositas minyak hasil dekarboksilasi sekitar 2,5 kali lebih besar dibandingkan dengan produk komersial, sehingga jika diuji pada suhu yang sama akan menghasilkan nilai viskositas yang sesuai dengan spesifikasi produk Minarex. Semakin tinggi suhu maka nilai viskositas akan semakin rendah. Hal ini menyebabkan waktu tetes minyak dari pipa kapiler atas pada pipa kapiler bawah </w:t>
      </w:r>
      <w:r w:rsidRPr="00B22A97">
        <w:rPr>
          <w:rFonts w:ascii="Times New Roman" w:eastAsia="Times New Roman" w:hAnsi="Times New Roman" w:cs="Times New Roman"/>
          <w:sz w:val="20"/>
          <w:szCs w:val="20"/>
          <w:lang w:val="id" w:eastAsia="id-ID"/>
        </w:rPr>
        <w:lastRenderedPageBreak/>
        <w:t>dalam bak viskometer terjadi lebih cepat dan mengakibatkan waktu ukur menjadi lebih cepat dan mengakibatkan viskositas menjadi lebih rendah. Selama proses analisis viskositas dibutuhkan pelarut etanol yang berfungsi untuk membilas sisa sampel minyak yang telah diuji sebelumnya, sehingga pengukuran waktu akan lebih akurat.</w:t>
      </w:r>
    </w:p>
    <w:p w14:paraId="064A0F07" w14:textId="77777777" w:rsidR="00B22A97" w:rsidRPr="00B22A97" w:rsidRDefault="00B22A97" w:rsidP="00D32DFE">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3.3 Pengaruh suhu reaksi terhadap persentase hasil minyak terdekarboksilasi</w:t>
      </w:r>
    </w:p>
    <w:p w14:paraId="622F3A0F" w14:textId="77777777" w:rsidR="00B22A97" w:rsidRDefault="00B22A97" w:rsidP="00B22A97">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Variasi suhu operasi dilakukan untuk mendapatkan nilai rendemen terbaik dari beberapa sampel. Persentase rendemen dapat dihitung dengan membandingkan massa produk dekarboksilasi dengan massa minyak awal. Perbandingan rendemen beberapa minyak hasil proses dekarboksilasi terhadap suhu reaksi dapat dilihat pada Gambar 4.</w:t>
      </w:r>
    </w:p>
    <w:p w14:paraId="6D242E85" w14:textId="0B559BF0" w:rsidR="00B22A97" w:rsidRPr="00B22A97" w:rsidRDefault="00D32DFE" w:rsidP="00D32DFE">
      <w:pPr>
        <w:spacing w:before="100" w:beforeAutospacing="1" w:after="100" w:afterAutospacing="1" w:line="240" w:lineRule="auto"/>
        <w:jc w:val="center"/>
        <w:rPr>
          <w:rFonts w:ascii="Times New Roman" w:eastAsia="Times New Roman" w:hAnsi="Times New Roman" w:cs="Times New Roman"/>
          <w:sz w:val="20"/>
          <w:szCs w:val="20"/>
          <w:lang w:val="id" w:eastAsia="id-ID"/>
        </w:rPr>
      </w:pPr>
      <w:r>
        <w:rPr>
          <w:noProof/>
          <w:lang w:eastAsia="id-ID"/>
        </w:rPr>
        <w:drawing>
          <wp:inline distT="0" distB="0" distL="0" distR="0" wp14:anchorId="26ECE6B0" wp14:editId="3B7427E7">
            <wp:extent cx="2848610" cy="1599144"/>
            <wp:effectExtent l="0" t="0" r="8890" b="1270"/>
            <wp:docPr id="40" name="Chart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5BD76FB-BDA5-4832-826E-CF07FA894A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B22A97" w:rsidRPr="00B22A97">
        <w:rPr>
          <w:rFonts w:ascii="Times New Roman" w:eastAsia="Times New Roman" w:hAnsi="Times New Roman" w:cs="Times New Roman"/>
          <w:b/>
          <w:sz w:val="20"/>
          <w:szCs w:val="20"/>
          <w:lang w:val="id" w:eastAsia="id-ID"/>
        </w:rPr>
        <w:t xml:space="preserve">Gambar 4. </w:t>
      </w:r>
      <w:r w:rsidR="00B22A97" w:rsidRPr="00B22A97">
        <w:rPr>
          <w:rFonts w:ascii="Times New Roman" w:eastAsia="Times New Roman" w:hAnsi="Times New Roman" w:cs="Times New Roman"/>
          <w:sz w:val="20"/>
          <w:szCs w:val="20"/>
          <w:lang w:val="id" w:eastAsia="id-ID"/>
        </w:rPr>
        <w:t>Hasil minyak dekarboksilasi</w:t>
      </w:r>
    </w:p>
    <w:p w14:paraId="201995C3" w14:textId="77777777" w:rsidR="00B22A97" w:rsidRPr="00B22A97" w:rsidRDefault="00B22A97" w:rsidP="00D32DFE">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Rendemen produk yang ditunjukkan pada Gambar 4 cenderung menurun pada setiap perlakuan, terutama untuk minyak jagung dan minyak sawit. Diagram di atas menunjukkan penurunan nilai rendemen untuk variabel suhu.</w:t>
      </w:r>
    </w:p>
    <w:p w14:paraId="747E2D94" w14:textId="7545648B" w:rsidR="00B22A97" w:rsidRDefault="00B22A97" w:rsidP="00D32DFE">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Sementara itu, hasil dekarboksilasi minyak bunga matahari berfluktuasi akibat perlakuan tertentu, seperti kehilangan panas selama proses pemisahan. Nilai konversi masing-masing minyak nabati, yaitu minyak bunga matahari, minyak jagung, dan minyak sawit, meningkat seiring dengan peningkatan suhu. Hal ini disebabkan banyaknya reaktan yang terkonversi menjadi produk, yang ditunjukkan oleh banyaknya senyawa yang bereaksi. Produk yang dihasilkan dalam proses dekarboksilasi ini berada dalam fase gas dan cair. Senyawa yang berkontraksi ringan pertama kali menguap ketika telah mencapai titik didih. Proses ini dilakukan secara terbuka, sehingga banyak kehilangan panas yang terjadi selama proses pemanasan.</w:t>
      </w:r>
    </w:p>
    <w:p w14:paraId="2B47778D" w14:textId="77777777" w:rsidR="00CA61C0" w:rsidRDefault="00CA61C0" w:rsidP="00D32DFE">
      <w:pPr>
        <w:spacing w:after="0" w:line="240" w:lineRule="auto"/>
        <w:ind w:firstLine="567"/>
        <w:jc w:val="both"/>
        <w:rPr>
          <w:rFonts w:ascii="Times New Roman" w:eastAsia="Times New Roman" w:hAnsi="Times New Roman" w:cs="Times New Roman"/>
          <w:sz w:val="20"/>
          <w:szCs w:val="20"/>
          <w:lang w:val="id" w:eastAsia="id-ID"/>
        </w:rPr>
      </w:pPr>
    </w:p>
    <w:p w14:paraId="5E680711" w14:textId="431301F6" w:rsidR="00B22A97" w:rsidRDefault="00CA61C0" w:rsidP="00CA61C0">
      <w:pPr>
        <w:spacing w:after="0" w:line="240" w:lineRule="auto"/>
        <w:jc w:val="center"/>
        <w:rPr>
          <w:rFonts w:ascii="Times New Roman" w:eastAsia="Times New Roman" w:hAnsi="Times New Roman" w:cs="Times New Roman"/>
          <w:sz w:val="20"/>
          <w:szCs w:val="20"/>
          <w:lang w:val="id" w:eastAsia="id-ID"/>
        </w:rPr>
      </w:pPr>
      <w:r>
        <w:rPr>
          <w:noProof/>
          <w:lang w:eastAsia="id-ID"/>
        </w:rPr>
        <w:drawing>
          <wp:inline distT="0" distB="0" distL="0" distR="0" wp14:anchorId="3BF94FCA" wp14:editId="31484031">
            <wp:extent cx="2848610" cy="1487509"/>
            <wp:effectExtent l="0" t="0" r="8890" b="17780"/>
            <wp:docPr id="41" name="Chart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6E1F8C5-DBC8-4917-BF25-F3BF282C3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B22A97" w:rsidRPr="00B22A97">
        <w:rPr>
          <w:rFonts w:ascii="Times New Roman" w:eastAsia="Times New Roman" w:hAnsi="Times New Roman" w:cs="Times New Roman"/>
          <w:b/>
          <w:sz w:val="20"/>
          <w:szCs w:val="20"/>
          <w:lang w:val="id" w:eastAsia="id-ID"/>
        </w:rPr>
        <w:t xml:space="preserve">Gambar 5. </w:t>
      </w:r>
      <w:r w:rsidR="00B22A97" w:rsidRPr="00B22A97">
        <w:rPr>
          <w:rFonts w:ascii="Times New Roman" w:eastAsia="Times New Roman" w:hAnsi="Times New Roman" w:cs="Times New Roman"/>
          <w:sz w:val="20"/>
          <w:szCs w:val="20"/>
          <w:lang w:val="id" w:eastAsia="id-ID"/>
        </w:rPr>
        <w:t>Perbandingan konversi produk dekarboksilasi terhadap suhu reaksi</w:t>
      </w:r>
    </w:p>
    <w:p w14:paraId="57E4022C" w14:textId="50EDF5C0" w:rsidR="00B22A97" w:rsidRPr="00B22A97" w:rsidRDefault="00B22A97" w:rsidP="00CA61C0">
      <w:pPr>
        <w:spacing w:before="100" w:beforeAutospacing="1" w:after="100" w:afterAutospacing="1" w:line="240" w:lineRule="auto"/>
        <w:ind w:firstLine="567"/>
        <w:jc w:val="both"/>
        <w:rPr>
          <w:rFonts w:ascii="Times New Roman" w:eastAsia="Times New Roman" w:hAnsi="Times New Roman" w:cs="Times New Roman"/>
          <w:i/>
          <w:sz w:val="20"/>
          <w:szCs w:val="20"/>
          <w:lang w:val="id" w:eastAsia="id-ID"/>
        </w:rPr>
      </w:pPr>
      <w:r w:rsidRPr="00B22A97">
        <w:rPr>
          <w:rFonts w:ascii="Times New Roman" w:eastAsia="Times New Roman" w:hAnsi="Times New Roman" w:cs="Times New Roman"/>
          <w:sz w:val="20"/>
          <w:szCs w:val="20"/>
          <w:lang w:val="id" w:eastAsia="id-ID"/>
        </w:rPr>
        <w:t>Konversi tertinggi diperoleh sebesar 95,5803% dari sampel minyak sawit pada suhu operasi 350 °C, sedangkan konversi terendah sebesar 86,1483% dari sampel minyak bunga matahari pada suhu operasi 250 °C. Berdasarkan penelitian sebelumnya yang dilakukan oleh Raut, dkk. (2016) mengenai "Dekarboksilasi katalitik minyak nabati pada kondisi tiga dimensi mesopori silika-didukung Pd" menggunakan bahan baku berupa minyak jarak yang didekarboksilasi dengan Pd yang didukung silika. Konversi asam oleat tertinggi adalah 85% pada suhu 325ºC. Hal ini disebabkan oleh sifat hidrofobisitas permukaan dan dispersi logam yang lebih tinggi. Sifat asam lemak memengaruhi reaktivitas dan jalur reaksi. Pada suhu yang lebih tinggi (300ºC ke atas), reaksi dekarboksilasi bersaing dengan hidrogenasi pada situs Pd. Berdasarkan literatur, semakin tinggi suhu, semakin besar nilai konversi menjadi produk. Hal ini sejalan dengan hasil yang diperoleh bahwa nilai konversi meningkat seiring dengan meningkatnya suhu.</w:t>
      </w:r>
    </w:p>
    <w:p w14:paraId="61343A82" w14:textId="77777777" w:rsidR="00B22A97" w:rsidRPr="00B22A97" w:rsidRDefault="00B22A97" w:rsidP="00D32DFE">
      <w:p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3.4 Analisis GC-MS Produk Minyak Dekarboksilasi</w:t>
      </w:r>
    </w:p>
    <w:p w14:paraId="2BB575FA" w14:textId="77777777" w:rsidR="00B22A97" w:rsidRPr="00B22A97" w:rsidRDefault="00B22A97" w:rsidP="00D32DFE">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Analisis GC-MS dilakukan pada produk minyak terdekarboksilasi untuk menentukan senyawa yang terkandung di dalamnya. Dalam penelitian ini, minyak terdekarboksilasi dianalisis dengan GCMS berdasarkan penampakan fisiknya, yaitu berwarna cokelat kehitaman, karena indikator tidak tertembus cahaya. Hal ini menunjukkan bahwa ikatan antar molekul karbon semakin erat dan juga dipengaruhi oleh dispersi katalis TiO</w:t>
      </w:r>
      <w:r w:rsidRPr="00D32DFE">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xml:space="preserve"> </w:t>
      </w:r>
      <w:r w:rsidRPr="00D32DFE">
        <w:rPr>
          <w:rFonts w:ascii="Times New Roman" w:eastAsia="Times New Roman" w:hAnsi="Times New Roman" w:cs="Times New Roman"/>
          <w:sz w:val="20"/>
          <w:szCs w:val="20"/>
          <w:lang w:val="id" w:eastAsia="id-ID"/>
        </w:rPr>
        <w:t>dalam</w:t>
      </w:r>
      <w:r w:rsidRPr="00B22A97">
        <w:rPr>
          <w:rFonts w:ascii="Times New Roman" w:eastAsia="Times New Roman" w:hAnsi="Times New Roman" w:cs="Times New Roman"/>
          <w:sz w:val="20"/>
          <w:szCs w:val="20"/>
          <w:vertAlign w:val="subscript"/>
          <w:lang w:val="id" w:eastAsia="id-ID"/>
        </w:rPr>
        <w:t xml:space="preserve"> </w:t>
      </w:r>
      <w:r w:rsidRPr="00B22A97">
        <w:rPr>
          <w:rFonts w:ascii="Times New Roman" w:eastAsia="Times New Roman" w:hAnsi="Times New Roman" w:cs="Times New Roman"/>
          <w:sz w:val="20"/>
          <w:szCs w:val="20"/>
          <w:lang w:val="id" w:eastAsia="id-ID"/>
        </w:rPr>
        <w:t>sampel.</w:t>
      </w:r>
    </w:p>
    <w:p w14:paraId="6B7BCF1C" w14:textId="77777777" w:rsidR="00B22A97" w:rsidRPr="00B22A97" w:rsidRDefault="00B22A97" w:rsidP="00D32DFE">
      <w:pPr>
        <w:spacing w:after="0"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Sebelum sampel minyak disuntikkan dengan spuit, sampel tersebut harus dilarutkan terlebih dahulu dengan pelarut untuk memisahkan senyawa organik dan anorganik seperti logam. Hasil analisis GC-MS produk hidrokarbon dari sampel minyak bunga matahari dengan suhu operasi 300°C merupakan yang terbaik dibandingkan beberapa sampel lain dilihat dari kandungan hidrokarbonnya. Sampel minyak bunga matahari pada suhu operasi 300°C dapat dilihat pada Gambar 6 .</w:t>
      </w:r>
    </w:p>
    <w:p w14:paraId="07C55678" w14:textId="5FCFB63D" w:rsidR="00B22A97" w:rsidRPr="00B22A97" w:rsidRDefault="00CA61C0" w:rsidP="00D32DFE">
      <w:pPr>
        <w:spacing w:before="100" w:beforeAutospacing="1" w:after="100" w:afterAutospacing="1" w:line="240" w:lineRule="auto"/>
        <w:jc w:val="both"/>
        <w:rPr>
          <w:rFonts w:ascii="Times New Roman" w:eastAsia="Times New Roman" w:hAnsi="Times New Roman" w:cs="Times New Roman"/>
          <w:sz w:val="20"/>
          <w:szCs w:val="20"/>
          <w:lang w:val="id" w:eastAsia="id-ID"/>
        </w:rPr>
      </w:pPr>
      <w:r w:rsidRPr="00CA61C0">
        <w:rPr>
          <w:rFonts w:ascii="Times New Roman" w:eastAsia="Times New Roman" w:hAnsi="Times New Roman" w:cs="Times New Roman"/>
          <w:noProof/>
          <w:sz w:val="24"/>
          <w:szCs w:val="24"/>
          <w:lang w:eastAsia="id-ID"/>
        </w:rPr>
        <w:lastRenderedPageBreak/>
        <w:drawing>
          <wp:inline distT="0" distB="0" distL="0" distR="0" wp14:anchorId="3E8F3733" wp14:editId="56B82146">
            <wp:extent cx="2900831" cy="1870710"/>
            <wp:effectExtent l="19050" t="19050" r="13970" b="15240"/>
            <wp:docPr id="43"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21A059F-D816-43D4-B3C7-405DC65E5FA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arto="http://schemas.microsoft.com/office/word/2006/arto" id="{221A059F-D816-43D4-B3C7-405DC65E5FA5}"/>
                        </a:ext>
                      </a:extLst>
                    </pic:cNvPr>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4862" cy="1879758"/>
                    </a:xfrm>
                    <a:prstGeom prst="rect">
                      <a:avLst/>
                    </a:prstGeom>
                    <a:noFill/>
                    <a:ln w="9525">
                      <a:solidFill>
                        <a:sysClr val="windowText" lastClr="000000"/>
                      </a:solidFill>
                    </a:ln>
                  </pic:spPr>
                </pic:pic>
              </a:graphicData>
            </a:graphic>
          </wp:inline>
        </w:drawing>
      </w:r>
    </w:p>
    <w:p w14:paraId="758CB501" w14:textId="34BAF9BE" w:rsidR="00B22A97" w:rsidRPr="00B22A97" w:rsidRDefault="00B22A97" w:rsidP="00CA61C0">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b/>
          <w:sz w:val="20"/>
          <w:szCs w:val="20"/>
          <w:lang w:val="id" w:eastAsia="id-ID"/>
        </w:rPr>
        <w:t xml:space="preserve">Gambar 6. </w:t>
      </w:r>
      <w:r w:rsidRPr="00B22A97">
        <w:rPr>
          <w:rFonts w:ascii="Times New Roman" w:eastAsia="Times New Roman" w:hAnsi="Times New Roman" w:cs="Times New Roman"/>
          <w:sz w:val="20"/>
          <w:szCs w:val="20"/>
          <w:lang w:val="id" w:eastAsia="id-ID"/>
        </w:rPr>
        <w:t>Hasil analisis sampel minyak bunga matahari dengan GC-MS pada suhu operasi 300ºC</w:t>
      </w:r>
    </w:p>
    <w:p w14:paraId="3C447169" w14:textId="213D8B9A" w:rsidR="00CA61C0" w:rsidRPr="00B22A97" w:rsidRDefault="00B22A97" w:rsidP="00810CA8">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Sampel minyak bunga matahari pada suhu 300 °C memiliki penampakan berwarna coklat dan sangat kental, yang menunjukkan nilai viskositas yang tinggi. Total waktu retensi pada sampel ini adalah 59,11 menit dan terdiri dari beberapa puncak yang menunjukkan adanya senyawa hidrokarbon dalam sampel. Semakin besar nilai afinitas suatu zat terhadap fase diam, maka akan semakin lama zat tersebut tertahan dalam kolom, sehingga waktu retensinya juga akan semakin besar. Fase gerak GC yang umum digunakan adalah He, H</w:t>
      </w:r>
      <w:r w:rsidRPr="00D32DFE">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atau N</w:t>
      </w:r>
      <w:r w:rsidRPr="00D32DFE">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xml:space="preserve">. Fase gerak yang digunakan harus bersifat inert (tidak bereaksi dengan sampel dan fase diamnya). Senyawa hidrokarbon penyusun campuran yang terdapat dalam produk ini dapat dilihat pada Tabel 1. Tabel 1 menunjukkan kandungan hidrokarbon yang memiliki </w:t>
      </w:r>
      <w:r w:rsidRPr="00D32DFE">
        <w:rPr>
          <w:rFonts w:ascii="Times New Roman" w:eastAsia="Times New Roman" w:hAnsi="Times New Roman" w:cs="Times New Roman"/>
          <w:sz w:val="20"/>
          <w:szCs w:val="20"/>
          <w:lang w:val="id" w:eastAsia="id-ID"/>
        </w:rPr>
        <w:t>fraksi C</w:t>
      </w:r>
      <w:r w:rsidRPr="00CA61C0">
        <w:rPr>
          <w:rFonts w:ascii="Times New Roman" w:eastAsia="Times New Roman" w:hAnsi="Times New Roman" w:cs="Times New Roman"/>
          <w:sz w:val="20"/>
          <w:szCs w:val="20"/>
          <w:vertAlign w:val="subscript"/>
          <w:lang w:val="id" w:eastAsia="id-ID"/>
        </w:rPr>
        <w:t>12</w:t>
      </w:r>
      <w:r w:rsidR="00D32DFE">
        <w:rPr>
          <w:rFonts w:ascii="Times New Roman" w:eastAsia="Times New Roman" w:hAnsi="Times New Roman" w:cs="Times New Roman"/>
          <w:sz w:val="20"/>
          <w:szCs w:val="20"/>
          <w:lang w:eastAsia="id-ID"/>
        </w:rPr>
        <w:t xml:space="preserve"> - </w:t>
      </w:r>
      <w:r w:rsidRPr="00D32DFE">
        <w:rPr>
          <w:rFonts w:ascii="Times New Roman" w:eastAsia="Times New Roman" w:hAnsi="Times New Roman" w:cs="Times New Roman"/>
          <w:sz w:val="20"/>
          <w:szCs w:val="20"/>
          <w:lang w:val="id" w:eastAsia="id-ID"/>
        </w:rPr>
        <w:t>C</w:t>
      </w:r>
      <w:r w:rsidRPr="00CA61C0">
        <w:rPr>
          <w:rFonts w:ascii="Times New Roman" w:eastAsia="Times New Roman" w:hAnsi="Times New Roman" w:cs="Times New Roman"/>
          <w:sz w:val="20"/>
          <w:szCs w:val="20"/>
          <w:vertAlign w:val="subscript"/>
          <w:lang w:val="id" w:eastAsia="id-ID"/>
        </w:rPr>
        <w:t>24</w:t>
      </w:r>
      <w:r w:rsidRPr="00D32DFE">
        <w:rPr>
          <w:rFonts w:ascii="Times New Roman" w:eastAsia="Times New Roman" w:hAnsi="Times New Roman" w:cs="Times New Roman"/>
          <w:sz w:val="20"/>
          <w:szCs w:val="20"/>
          <w:lang w:val="id" w:eastAsia="id-ID"/>
        </w:rPr>
        <w:t xml:space="preserve"> .</w:t>
      </w:r>
      <w:r w:rsidRPr="00B22A97">
        <w:rPr>
          <w:rFonts w:ascii="Times New Roman" w:eastAsia="Times New Roman" w:hAnsi="Times New Roman" w:cs="Times New Roman"/>
          <w:sz w:val="20"/>
          <w:szCs w:val="20"/>
          <w:lang w:val="id" w:eastAsia="id-ID"/>
        </w:rPr>
        <w:t xml:space="preserve"> Waktu retensi 25,60 menit menunjukkan kandungan senyawa Siklopropana, nonil- yang merupakan gugus olefin, sementara waktu retensi di atas 26,21 menit menunjukkan adanya senyawa hidrokarbon rantai sedang hingga panjang dengan fraksi C</w:t>
      </w:r>
      <w:r w:rsidRPr="00CA61C0">
        <w:rPr>
          <w:rFonts w:ascii="Times New Roman" w:eastAsia="Times New Roman" w:hAnsi="Times New Roman" w:cs="Times New Roman"/>
          <w:sz w:val="20"/>
          <w:szCs w:val="20"/>
          <w:vertAlign w:val="subscript"/>
          <w:lang w:val="id" w:eastAsia="id-ID"/>
        </w:rPr>
        <w:t>15</w:t>
      </w:r>
      <w:r w:rsidR="00D32DFE">
        <w:rPr>
          <w:rFonts w:ascii="Times New Roman" w:eastAsia="Times New Roman" w:hAnsi="Times New Roman" w:cs="Times New Roman"/>
          <w:sz w:val="20"/>
          <w:szCs w:val="20"/>
          <w:lang w:eastAsia="id-ID"/>
        </w:rPr>
        <w:t xml:space="preserve"> </w:t>
      </w:r>
      <w:r w:rsidRPr="00B22A97">
        <w:rPr>
          <w:rFonts w:ascii="Times New Roman" w:eastAsia="Times New Roman" w:hAnsi="Times New Roman" w:cs="Times New Roman"/>
          <w:sz w:val="20"/>
          <w:szCs w:val="20"/>
          <w:lang w:val="id" w:eastAsia="id-ID"/>
        </w:rPr>
        <w:t>-</w:t>
      </w:r>
      <w:r w:rsidR="00D32DFE">
        <w:rPr>
          <w:rFonts w:ascii="Times New Roman" w:eastAsia="Times New Roman" w:hAnsi="Times New Roman" w:cs="Times New Roman"/>
          <w:sz w:val="20"/>
          <w:szCs w:val="20"/>
          <w:lang w:eastAsia="id-ID"/>
        </w:rPr>
        <w:t xml:space="preserve"> </w:t>
      </w:r>
      <w:r w:rsidRPr="00B22A97">
        <w:rPr>
          <w:rFonts w:ascii="Times New Roman" w:eastAsia="Times New Roman" w:hAnsi="Times New Roman" w:cs="Times New Roman"/>
          <w:sz w:val="20"/>
          <w:szCs w:val="20"/>
          <w:lang w:val="id" w:eastAsia="id-ID"/>
        </w:rPr>
        <w:t>C</w:t>
      </w:r>
      <w:r w:rsidRPr="00CA61C0">
        <w:rPr>
          <w:rFonts w:ascii="Times New Roman" w:eastAsia="Times New Roman" w:hAnsi="Times New Roman" w:cs="Times New Roman"/>
          <w:sz w:val="20"/>
          <w:szCs w:val="20"/>
          <w:vertAlign w:val="subscript"/>
          <w:lang w:val="id" w:eastAsia="id-ID"/>
        </w:rPr>
        <w:t>24</w:t>
      </w:r>
      <w:r w:rsidRPr="00B22A97">
        <w:rPr>
          <w:rFonts w:ascii="Times New Roman" w:eastAsia="Times New Roman" w:hAnsi="Times New Roman" w:cs="Times New Roman"/>
          <w:sz w:val="20"/>
          <w:szCs w:val="20"/>
          <w:lang w:val="id" w:eastAsia="id-ID"/>
        </w:rPr>
        <w:t xml:space="preserve"> yang cenderung berupa gugus parafin. Hal ini menunjukkan bahwa reaksi dekarboksilasi berjalan dengan baik sehingga tidak menghasilkan fraksi ringan yang lebih memungkinkan terjadinya proses fraktur hidrokarbon.</w:t>
      </w:r>
    </w:p>
    <w:p w14:paraId="595C24D9" w14:textId="5DBDF275" w:rsidR="00B22A97" w:rsidRPr="00810CA8" w:rsidRDefault="00D32DFE" w:rsidP="00810CA8">
      <w:pPr>
        <w:spacing w:after="0" w:line="240" w:lineRule="auto"/>
        <w:ind w:firstLine="567"/>
        <w:jc w:val="center"/>
        <w:rPr>
          <w:rFonts w:ascii="Times New Roman" w:eastAsia="Times New Roman" w:hAnsi="Times New Roman" w:cs="Times New Roman"/>
          <w:sz w:val="20"/>
          <w:szCs w:val="20"/>
          <w:lang w:eastAsia="id-ID"/>
        </w:rPr>
      </w:pPr>
      <w:r w:rsidRPr="00B22A97">
        <w:rPr>
          <w:rFonts w:ascii="Times New Roman" w:eastAsia="Times New Roman" w:hAnsi="Times New Roman" w:cs="Times New Roman"/>
          <w:sz w:val="20"/>
          <w:szCs w:val="20"/>
          <w:lang w:val="id" w:eastAsia="id-ID"/>
        </w:rPr>
        <w:t>Tabel 1</w:t>
      </w:r>
      <w:r>
        <w:rPr>
          <w:rFonts w:ascii="Times New Roman" w:eastAsia="Times New Roman" w:hAnsi="Times New Roman" w:cs="Times New Roman"/>
          <w:sz w:val="20"/>
          <w:szCs w:val="20"/>
          <w:lang w:eastAsia="id-ID"/>
        </w:rPr>
        <w:t xml:space="preserve">. </w:t>
      </w:r>
      <w:r w:rsidRPr="00B22A97">
        <w:rPr>
          <w:rFonts w:ascii="Times New Roman" w:eastAsia="Times New Roman" w:hAnsi="Times New Roman" w:cs="Times New Roman"/>
          <w:sz w:val="20"/>
          <w:szCs w:val="20"/>
          <w:lang w:val="id" w:eastAsia="id-ID"/>
        </w:rPr>
        <w:t>Senyawa Kimia Yang Terkandung​​ Dalam Produk Minyak Bunga Matahari 300 º</w:t>
      </w:r>
      <w:r w:rsidR="00810CA8">
        <w:rPr>
          <w:rFonts w:ascii="Times New Roman" w:eastAsia="Times New Roman" w:hAnsi="Times New Roman" w:cs="Times New Roman"/>
          <w:sz w:val="20"/>
          <w:szCs w:val="20"/>
          <w:lang w:eastAsia="id-ID"/>
        </w:rPr>
        <w:t>C</w:t>
      </w:r>
      <w:bookmarkStart w:id="0" w:name="_GoBack"/>
      <w:bookmarkEnd w:id="0"/>
    </w:p>
    <w:p w14:paraId="12263C50" w14:textId="77777777" w:rsidR="00810CA8" w:rsidRPr="00B22A97" w:rsidRDefault="00810CA8" w:rsidP="00810CA8">
      <w:pPr>
        <w:spacing w:after="0" w:line="240" w:lineRule="auto"/>
        <w:ind w:firstLine="567"/>
        <w:jc w:val="center"/>
        <w:rPr>
          <w:rFonts w:ascii="Times New Roman" w:eastAsia="Times New Roman" w:hAnsi="Times New Roman" w:cs="Times New Roman"/>
          <w:sz w:val="20"/>
          <w:szCs w:val="20"/>
          <w:lang w:val="id" w:eastAsia="id-ID"/>
        </w:rPr>
      </w:pPr>
    </w:p>
    <w:tbl>
      <w:tblPr>
        <w:tblStyle w:val="PlainTable5"/>
        <w:tblW w:w="4841" w:type="dxa"/>
        <w:tblLayout w:type="fixed"/>
        <w:tblLook w:val="04A0" w:firstRow="1" w:lastRow="0" w:firstColumn="1" w:lastColumn="0" w:noHBand="0" w:noVBand="1"/>
      </w:tblPr>
      <w:tblGrid>
        <w:gridCol w:w="997"/>
        <w:gridCol w:w="220"/>
        <w:gridCol w:w="1277"/>
        <w:gridCol w:w="220"/>
        <w:gridCol w:w="1169"/>
        <w:gridCol w:w="220"/>
        <w:gridCol w:w="518"/>
        <w:gridCol w:w="220"/>
      </w:tblGrid>
      <w:tr w:rsidR="00D32DFE" w:rsidRPr="00D32DFE" w14:paraId="5777584B" w14:textId="77777777" w:rsidTr="00810CA8">
        <w:trPr>
          <w:cnfStyle w:val="100000000000" w:firstRow="1" w:lastRow="0" w:firstColumn="0" w:lastColumn="0" w:oddVBand="0" w:evenVBand="0" w:oddHBand="0" w:evenHBand="0" w:firstRowFirstColumn="0" w:firstRowLastColumn="0" w:lastRowFirstColumn="0" w:lastRowLastColumn="0"/>
          <w:trHeight w:val="591"/>
        </w:trPr>
        <w:tc>
          <w:tcPr>
            <w:cnfStyle w:val="001000000100" w:firstRow="0" w:lastRow="0" w:firstColumn="1" w:lastColumn="0" w:oddVBand="0" w:evenVBand="0" w:oddHBand="0" w:evenHBand="0" w:firstRowFirstColumn="1" w:firstRowLastColumn="0" w:lastRowFirstColumn="0" w:lastRowLastColumn="0"/>
            <w:tcW w:w="1217" w:type="dxa"/>
            <w:gridSpan w:val="2"/>
          </w:tcPr>
          <w:p w14:paraId="3EFE8F25" w14:textId="77777777" w:rsidR="00B22A97" w:rsidRPr="00D32DFE" w:rsidRDefault="00B22A97" w:rsidP="00D32DFE">
            <w:pPr>
              <w:jc w:val="both"/>
              <w:rPr>
                <w:rFonts w:ascii="Times New Roman" w:eastAsia="Times New Roman" w:hAnsi="Times New Roman" w:cs="Times New Roman"/>
                <w:b/>
                <w:sz w:val="16"/>
                <w:szCs w:val="16"/>
                <w:lang w:val="id" w:eastAsia="id-ID"/>
              </w:rPr>
            </w:pPr>
            <w:r w:rsidRPr="00D32DFE">
              <w:rPr>
                <w:rFonts w:ascii="Times New Roman" w:eastAsia="Times New Roman" w:hAnsi="Times New Roman" w:cs="Times New Roman"/>
                <w:b/>
                <w:sz w:val="16"/>
                <w:szCs w:val="16"/>
                <w:lang w:val="id" w:eastAsia="id-ID"/>
              </w:rPr>
              <w:t>Waktu</w:t>
            </w:r>
          </w:p>
          <w:p w14:paraId="46C65103" w14:textId="77777777" w:rsidR="00B22A97" w:rsidRPr="00D32DFE" w:rsidRDefault="00B22A97" w:rsidP="00D32DFE">
            <w:pPr>
              <w:jc w:val="both"/>
              <w:rPr>
                <w:rFonts w:ascii="Times New Roman" w:eastAsia="Times New Roman" w:hAnsi="Times New Roman" w:cs="Times New Roman"/>
                <w:b/>
                <w:sz w:val="16"/>
                <w:szCs w:val="16"/>
                <w:lang w:val="id" w:eastAsia="id-ID"/>
              </w:rPr>
            </w:pPr>
            <w:r w:rsidRPr="00D32DFE">
              <w:rPr>
                <w:rFonts w:ascii="Times New Roman" w:eastAsia="Times New Roman" w:hAnsi="Times New Roman" w:cs="Times New Roman"/>
                <w:b/>
                <w:sz w:val="16"/>
                <w:szCs w:val="16"/>
                <w:lang w:val="id" w:eastAsia="id-ID"/>
              </w:rPr>
              <w:t>Penyimpanan</w:t>
            </w:r>
          </w:p>
          <w:p w14:paraId="411EC05F" w14:textId="77777777" w:rsidR="00B22A97" w:rsidRPr="00D32DFE" w:rsidRDefault="00B22A97" w:rsidP="00D32DFE">
            <w:pPr>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b/>
                <w:sz w:val="16"/>
                <w:szCs w:val="16"/>
                <w:lang w:val="id" w:eastAsia="id-ID"/>
              </w:rPr>
              <w:t>(menit)</w:t>
            </w:r>
          </w:p>
        </w:tc>
        <w:tc>
          <w:tcPr>
            <w:tcW w:w="1497" w:type="dxa"/>
            <w:gridSpan w:val="2"/>
          </w:tcPr>
          <w:p w14:paraId="53C6E603" w14:textId="77777777" w:rsidR="00B22A97" w:rsidRPr="00D32DFE" w:rsidRDefault="00B22A97" w:rsidP="00D32DF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Senyawa Kimia</w:t>
            </w:r>
          </w:p>
        </w:tc>
        <w:tc>
          <w:tcPr>
            <w:tcW w:w="1389" w:type="dxa"/>
            <w:gridSpan w:val="2"/>
          </w:tcPr>
          <w:p w14:paraId="1072D157" w14:textId="77777777" w:rsidR="00B22A97" w:rsidRPr="00D32DFE" w:rsidRDefault="00B22A97" w:rsidP="00D32DFE">
            <w:pPr>
              <w:ind w:firstLine="3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6"/>
                <w:szCs w:val="16"/>
                <w:lang w:val="id" w:eastAsia="id-ID"/>
              </w:rPr>
            </w:pPr>
            <w:r w:rsidRPr="00D32DFE">
              <w:rPr>
                <w:rFonts w:ascii="Times New Roman" w:eastAsia="Times New Roman" w:hAnsi="Times New Roman" w:cs="Times New Roman"/>
                <w:b/>
                <w:sz w:val="16"/>
                <w:szCs w:val="16"/>
                <w:lang w:val="id" w:eastAsia="id-ID"/>
              </w:rPr>
              <w:t>Rumus</w:t>
            </w:r>
          </w:p>
          <w:p w14:paraId="1FD5BEB0" w14:textId="77777777" w:rsidR="00B22A97" w:rsidRPr="00D32DFE" w:rsidRDefault="00B22A97" w:rsidP="00D32DF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b/>
                <w:sz w:val="16"/>
                <w:szCs w:val="16"/>
                <w:lang w:val="id" w:eastAsia="id-ID"/>
              </w:rPr>
              <w:t>Molekul</w:t>
            </w:r>
          </w:p>
        </w:tc>
        <w:tc>
          <w:tcPr>
            <w:tcW w:w="738" w:type="dxa"/>
            <w:gridSpan w:val="2"/>
          </w:tcPr>
          <w:p w14:paraId="660135BC" w14:textId="77777777" w:rsidR="00B22A97" w:rsidRPr="00D32DFE" w:rsidRDefault="00B22A97" w:rsidP="00D32DFE">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b/>
                <w:sz w:val="16"/>
                <w:szCs w:val="16"/>
                <w:lang w:val="id" w:eastAsia="id-ID"/>
              </w:rPr>
              <w:t>Luas %</w:t>
            </w:r>
          </w:p>
        </w:tc>
      </w:tr>
      <w:tr w:rsidR="00D32DFE" w:rsidRPr="00D32DFE" w14:paraId="6F4D3DED" w14:textId="77777777" w:rsidTr="00810CA8">
        <w:trPr>
          <w:gridAfter w:val="1"/>
          <w:cnfStyle w:val="000000100000" w:firstRow="0" w:lastRow="0" w:firstColumn="0" w:lastColumn="0" w:oddVBand="0" w:evenVBand="0" w:oddHBand="1" w:evenHBand="0" w:firstRowFirstColumn="0" w:firstRowLastColumn="0" w:lastRowFirstColumn="0" w:lastRowLastColumn="0"/>
          <w:wAfter w:w="220" w:type="dxa"/>
          <w:trHeight w:val="397"/>
        </w:trPr>
        <w:tc>
          <w:tcPr>
            <w:cnfStyle w:val="001000000000" w:firstRow="0" w:lastRow="0" w:firstColumn="1" w:lastColumn="0" w:oddVBand="0" w:evenVBand="0" w:oddHBand="0" w:evenHBand="0" w:firstRowFirstColumn="0" w:firstRowLastColumn="0" w:lastRowFirstColumn="0" w:lastRowLastColumn="0"/>
            <w:tcW w:w="997" w:type="dxa"/>
          </w:tcPr>
          <w:p w14:paraId="18831DC6"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25,60</w:t>
            </w:r>
          </w:p>
        </w:tc>
        <w:tc>
          <w:tcPr>
            <w:tcW w:w="1497" w:type="dxa"/>
            <w:gridSpan w:val="2"/>
          </w:tcPr>
          <w:p w14:paraId="7919F750"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Siklopropana, nonil-</w:t>
            </w:r>
          </w:p>
        </w:tc>
        <w:tc>
          <w:tcPr>
            <w:tcW w:w="1389" w:type="dxa"/>
            <w:gridSpan w:val="2"/>
          </w:tcPr>
          <w:p w14:paraId="7431B5B7"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C </w:t>
            </w:r>
            <w:r w:rsidRPr="00D32DFE">
              <w:rPr>
                <w:rFonts w:ascii="Times New Roman" w:eastAsia="Times New Roman" w:hAnsi="Times New Roman" w:cs="Times New Roman"/>
                <w:sz w:val="16"/>
                <w:szCs w:val="16"/>
                <w:vertAlign w:val="subscript"/>
                <w:lang w:val="id" w:eastAsia="id-ID"/>
              </w:rPr>
              <w:t xml:space="preserve">12 </w:t>
            </w:r>
            <w:r w:rsidRPr="00D32DFE">
              <w:rPr>
                <w:rFonts w:ascii="Times New Roman" w:eastAsia="Times New Roman" w:hAnsi="Times New Roman" w:cs="Times New Roman"/>
                <w:sz w:val="16"/>
                <w:szCs w:val="16"/>
                <w:lang w:val="id" w:eastAsia="id-ID"/>
              </w:rPr>
              <w:t xml:space="preserve">H </w:t>
            </w:r>
            <w:r w:rsidRPr="00D32DFE">
              <w:rPr>
                <w:rFonts w:ascii="Times New Roman" w:eastAsia="Times New Roman" w:hAnsi="Times New Roman" w:cs="Times New Roman"/>
                <w:sz w:val="16"/>
                <w:szCs w:val="16"/>
                <w:vertAlign w:val="subscript"/>
                <w:lang w:val="id" w:eastAsia="id-ID"/>
              </w:rPr>
              <w:t>24</w:t>
            </w:r>
            <w:r w:rsidRPr="00D32DFE">
              <w:rPr>
                <w:rFonts w:ascii="Times New Roman" w:eastAsia="Times New Roman" w:hAnsi="Times New Roman" w:cs="Times New Roman"/>
                <w:sz w:val="16"/>
                <w:szCs w:val="16"/>
                <w:lang w:val="id" w:eastAsia="id-ID"/>
              </w:rPr>
              <w:t xml:space="preserve"> </w:t>
            </w:r>
          </w:p>
        </w:tc>
        <w:tc>
          <w:tcPr>
            <w:tcW w:w="738" w:type="dxa"/>
            <w:gridSpan w:val="2"/>
          </w:tcPr>
          <w:p w14:paraId="32151ED9" w14:textId="77777777" w:rsidR="00B22A97" w:rsidRPr="00D32DFE" w:rsidRDefault="00B22A97" w:rsidP="00CA61C0">
            <w:pPr>
              <w:spacing w:before="100" w:beforeAutospacing="1" w:after="100" w:afterAutospacing="1"/>
              <w:ind w:firstLine="2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4,15</w:t>
            </w:r>
          </w:p>
        </w:tc>
      </w:tr>
      <w:tr w:rsidR="00D32DFE" w:rsidRPr="00D32DFE" w14:paraId="0D008ED9" w14:textId="77777777" w:rsidTr="00810CA8">
        <w:trPr>
          <w:gridAfter w:val="1"/>
          <w:wAfter w:w="220" w:type="dxa"/>
          <w:trHeight w:val="417"/>
        </w:trPr>
        <w:tc>
          <w:tcPr>
            <w:cnfStyle w:val="001000000000" w:firstRow="0" w:lastRow="0" w:firstColumn="1" w:lastColumn="0" w:oddVBand="0" w:evenVBand="0" w:oddHBand="0" w:evenHBand="0" w:firstRowFirstColumn="0" w:firstRowLastColumn="0" w:lastRowFirstColumn="0" w:lastRowLastColumn="0"/>
            <w:tcW w:w="997" w:type="dxa"/>
          </w:tcPr>
          <w:p w14:paraId="014D97CD"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26,21</w:t>
            </w:r>
          </w:p>
        </w:tc>
        <w:tc>
          <w:tcPr>
            <w:tcW w:w="1497" w:type="dxa"/>
            <w:gridSpan w:val="2"/>
          </w:tcPr>
          <w:p w14:paraId="18C539C4" w14:textId="77777777" w:rsidR="00B22A97" w:rsidRPr="00D32DFE" w:rsidRDefault="00B22A97" w:rsidP="00CA61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Pentadekana, 7metil-</w:t>
            </w:r>
          </w:p>
        </w:tc>
        <w:tc>
          <w:tcPr>
            <w:tcW w:w="1389" w:type="dxa"/>
            <w:gridSpan w:val="2"/>
          </w:tcPr>
          <w:p w14:paraId="6145C0B6" w14:textId="77777777" w:rsidR="00B22A97" w:rsidRPr="00D32DFE" w:rsidRDefault="00B22A97" w:rsidP="00CA61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C</w:t>
            </w:r>
            <w:r w:rsidRPr="00D32DFE">
              <w:rPr>
                <w:rFonts w:ascii="Times New Roman" w:eastAsia="Times New Roman" w:hAnsi="Times New Roman" w:cs="Times New Roman"/>
                <w:sz w:val="16"/>
                <w:szCs w:val="16"/>
                <w:vertAlign w:val="subscript"/>
                <w:lang w:val="id" w:eastAsia="id-ID"/>
              </w:rPr>
              <w:t>16</w:t>
            </w:r>
            <w:r w:rsidRPr="00D32DFE">
              <w:rPr>
                <w:rFonts w:ascii="Times New Roman" w:eastAsia="Times New Roman" w:hAnsi="Times New Roman" w:cs="Times New Roman"/>
                <w:sz w:val="16"/>
                <w:szCs w:val="16"/>
                <w:lang w:val="id" w:eastAsia="id-ID"/>
              </w:rPr>
              <w:t>H</w:t>
            </w:r>
            <w:r w:rsidRPr="00D32DFE">
              <w:rPr>
                <w:rFonts w:ascii="Times New Roman" w:eastAsia="Times New Roman" w:hAnsi="Times New Roman" w:cs="Times New Roman"/>
                <w:sz w:val="16"/>
                <w:szCs w:val="16"/>
                <w:vertAlign w:val="subscript"/>
                <w:lang w:val="id" w:eastAsia="id-ID"/>
              </w:rPr>
              <w:t xml:space="preserve">34 </w:t>
            </w:r>
          </w:p>
        </w:tc>
        <w:tc>
          <w:tcPr>
            <w:tcW w:w="738" w:type="dxa"/>
            <w:gridSpan w:val="2"/>
          </w:tcPr>
          <w:p w14:paraId="4BFEE769" w14:textId="77777777" w:rsidR="00B22A97" w:rsidRPr="00D32DFE" w:rsidRDefault="00B22A97" w:rsidP="00CA61C0">
            <w:pPr>
              <w:spacing w:before="100" w:beforeAutospacing="1" w:after="100" w:afterAutospacing="1"/>
              <w:ind w:firstLine="2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0,08 </w:t>
            </w:r>
          </w:p>
        </w:tc>
      </w:tr>
      <w:tr w:rsidR="00D32DFE" w:rsidRPr="00D32DFE" w14:paraId="3EBAC7FE" w14:textId="77777777" w:rsidTr="00810CA8">
        <w:trPr>
          <w:gridAfter w:val="1"/>
          <w:cnfStyle w:val="000000100000" w:firstRow="0" w:lastRow="0" w:firstColumn="0" w:lastColumn="0" w:oddVBand="0" w:evenVBand="0" w:oddHBand="1" w:evenHBand="0" w:firstRowFirstColumn="0" w:firstRowLastColumn="0" w:lastRowFirstColumn="0" w:lastRowLastColumn="0"/>
          <w:wAfter w:w="220" w:type="dxa"/>
          <w:trHeight w:val="225"/>
        </w:trPr>
        <w:tc>
          <w:tcPr>
            <w:cnfStyle w:val="001000000000" w:firstRow="0" w:lastRow="0" w:firstColumn="1" w:lastColumn="0" w:oddVBand="0" w:evenVBand="0" w:oddHBand="0" w:evenHBand="0" w:firstRowFirstColumn="0" w:firstRowLastColumn="0" w:lastRowFirstColumn="0" w:lastRowLastColumn="0"/>
            <w:tcW w:w="997" w:type="dxa"/>
          </w:tcPr>
          <w:p w14:paraId="6974DD4B"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26,21 </w:t>
            </w:r>
          </w:p>
        </w:tc>
        <w:tc>
          <w:tcPr>
            <w:tcW w:w="1497" w:type="dxa"/>
            <w:gridSpan w:val="2"/>
          </w:tcPr>
          <w:p w14:paraId="435A6482"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Hexadecane </w:t>
            </w:r>
          </w:p>
        </w:tc>
        <w:tc>
          <w:tcPr>
            <w:tcW w:w="1389" w:type="dxa"/>
            <w:gridSpan w:val="2"/>
          </w:tcPr>
          <w:p w14:paraId="7DCE9608"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C</w:t>
            </w:r>
            <w:r w:rsidRPr="00D32DFE">
              <w:rPr>
                <w:rFonts w:ascii="Times New Roman" w:eastAsia="Times New Roman" w:hAnsi="Times New Roman" w:cs="Times New Roman"/>
                <w:sz w:val="16"/>
                <w:szCs w:val="16"/>
                <w:vertAlign w:val="subscript"/>
                <w:lang w:val="id" w:eastAsia="id-ID"/>
              </w:rPr>
              <w:t>16</w:t>
            </w:r>
            <w:r w:rsidRPr="00D32DFE">
              <w:rPr>
                <w:rFonts w:ascii="Times New Roman" w:eastAsia="Times New Roman" w:hAnsi="Times New Roman" w:cs="Times New Roman"/>
                <w:sz w:val="16"/>
                <w:szCs w:val="16"/>
                <w:lang w:val="id" w:eastAsia="id-ID"/>
              </w:rPr>
              <w:t>H</w:t>
            </w:r>
            <w:r w:rsidRPr="00D32DFE">
              <w:rPr>
                <w:rFonts w:ascii="Times New Roman" w:eastAsia="Times New Roman" w:hAnsi="Times New Roman" w:cs="Times New Roman"/>
                <w:sz w:val="16"/>
                <w:szCs w:val="16"/>
                <w:vertAlign w:val="subscript"/>
                <w:lang w:val="id" w:eastAsia="id-ID"/>
              </w:rPr>
              <w:t>34</w:t>
            </w:r>
            <w:r w:rsidRPr="00D32DFE">
              <w:rPr>
                <w:rFonts w:ascii="Times New Roman" w:eastAsia="Times New Roman" w:hAnsi="Times New Roman" w:cs="Times New Roman"/>
                <w:sz w:val="16"/>
                <w:szCs w:val="16"/>
                <w:lang w:val="id" w:eastAsia="id-ID"/>
              </w:rPr>
              <w:t xml:space="preserve"> </w:t>
            </w:r>
          </w:p>
        </w:tc>
        <w:tc>
          <w:tcPr>
            <w:tcW w:w="738" w:type="dxa"/>
            <w:gridSpan w:val="2"/>
          </w:tcPr>
          <w:p w14:paraId="795EA3B1" w14:textId="77777777" w:rsidR="00B22A97" w:rsidRPr="00D32DFE" w:rsidRDefault="00B22A97" w:rsidP="00CA61C0">
            <w:pPr>
              <w:spacing w:before="100" w:beforeAutospacing="1" w:after="100" w:afterAutospacing="1"/>
              <w:ind w:firstLine="2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0,08 </w:t>
            </w:r>
          </w:p>
        </w:tc>
      </w:tr>
      <w:tr w:rsidR="00D32DFE" w:rsidRPr="00D32DFE" w14:paraId="40A38FB4" w14:textId="77777777" w:rsidTr="00810CA8">
        <w:trPr>
          <w:gridAfter w:val="1"/>
          <w:wAfter w:w="220" w:type="dxa"/>
          <w:trHeight w:val="223"/>
        </w:trPr>
        <w:tc>
          <w:tcPr>
            <w:cnfStyle w:val="001000000000" w:firstRow="0" w:lastRow="0" w:firstColumn="1" w:lastColumn="0" w:oddVBand="0" w:evenVBand="0" w:oddHBand="0" w:evenHBand="0" w:firstRowFirstColumn="0" w:firstRowLastColumn="0" w:lastRowFirstColumn="0" w:lastRowLastColumn="0"/>
            <w:tcW w:w="997" w:type="dxa"/>
          </w:tcPr>
          <w:p w14:paraId="1E973D82"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26,21 </w:t>
            </w:r>
          </w:p>
        </w:tc>
        <w:tc>
          <w:tcPr>
            <w:tcW w:w="1497" w:type="dxa"/>
            <w:gridSpan w:val="2"/>
          </w:tcPr>
          <w:p w14:paraId="2B1F5CB9" w14:textId="77777777" w:rsidR="00B22A97" w:rsidRPr="00D32DFE" w:rsidRDefault="00B22A97" w:rsidP="00CA61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Pentadecane </w:t>
            </w:r>
          </w:p>
        </w:tc>
        <w:tc>
          <w:tcPr>
            <w:tcW w:w="1389" w:type="dxa"/>
            <w:gridSpan w:val="2"/>
          </w:tcPr>
          <w:p w14:paraId="6D34FD65" w14:textId="77777777" w:rsidR="00B22A97" w:rsidRPr="00D32DFE" w:rsidRDefault="00B22A97" w:rsidP="00CA61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C</w:t>
            </w:r>
            <w:r w:rsidRPr="00D32DFE">
              <w:rPr>
                <w:rFonts w:ascii="Times New Roman" w:eastAsia="Times New Roman" w:hAnsi="Times New Roman" w:cs="Times New Roman"/>
                <w:sz w:val="16"/>
                <w:szCs w:val="16"/>
                <w:vertAlign w:val="subscript"/>
                <w:lang w:val="id" w:eastAsia="id-ID"/>
              </w:rPr>
              <w:t>15</w:t>
            </w:r>
            <w:r w:rsidRPr="00D32DFE">
              <w:rPr>
                <w:rFonts w:ascii="Times New Roman" w:eastAsia="Times New Roman" w:hAnsi="Times New Roman" w:cs="Times New Roman"/>
                <w:sz w:val="16"/>
                <w:szCs w:val="16"/>
                <w:lang w:val="id" w:eastAsia="id-ID"/>
              </w:rPr>
              <w:t>H</w:t>
            </w:r>
            <w:r w:rsidRPr="00D32DFE">
              <w:rPr>
                <w:rFonts w:ascii="Times New Roman" w:eastAsia="Times New Roman" w:hAnsi="Times New Roman" w:cs="Times New Roman"/>
                <w:sz w:val="16"/>
                <w:szCs w:val="16"/>
                <w:vertAlign w:val="subscript"/>
                <w:lang w:val="id" w:eastAsia="id-ID"/>
              </w:rPr>
              <w:t>32</w:t>
            </w:r>
            <w:r w:rsidRPr="00D32DFE">
              <w:rPr>
                <w:rFonts w:ascii="Times New Roman" w:eastAsia="Times New Roman" w:hAnsi="Times New Roman" w:cs="Times New Roman"/>
                <w:sz w:val="16"/>
                <w:szCs w:val="16"/>
                <w:lang w:val="id" w:eastAsia="id-ID"/>
              </w:rPr>
              <w:t xml:space="preserve"> </w:t>
            </w:r>
          </w:p>
        </w:tc>
        <w:tc>
          <w:tcPr>
            <w:tcW w:w="738" w:type="dxa"/>
            <w:gridSpan w:val="2"/>
          </w:tcPr>
          <w:p w14:paraId="24EA03E1" w14:textId="77777777" w:rsidR="00B22A97" w:rsidRPr="00D32DFE" w:rsidRDefault="00B22A97" w:rsidP="00CA61C0">
            <w:pPr>
              <w:spacing w:before="100" w:beforeAutospacing="1" w:after="100" w:afterAutospacing="1"/>
              <w:ind w:firstLine="2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0,08 </w:t>
            </w:r>
          </w:p>
        </w:tc>
      </w:tr>
      <w:tr w:rsidR="00D32DFE" w:rsidRPr="00D32DFE" w14:paraId="28A4F115" w14:textId="77777777" w:rsidTr="00810CA8">
        <w:trPr>
          <w:gridAfter w:val="1"/>
          <w:cnfStyle w:val="000000100000" w:firstRow="0" w:lastRow="0" w:firstColumn="0" w:lastColumn="0" w:oddVBand="0" w:evenVBand="0" w:oddHBand="1" w:evenHBand="0" w:firstRowFirstColumn="0" w:firstRowLastColumn="0" w:lastRowFirstColumn="0" w:lastRowLastColumn="0"/>
          <w:wAfter w:w="220" w:type="dxa"/>
          <w:trHeight w:val="223"/>
        </w:trPr>
        <w:tc>
          <w:tcPr>
            <w:cnfStyle w:val="001000000000" w:firstRow="0" w:lastRow="0" w:firstColumn="1" w:lastColumn="0" w:oddVBand="0" w:evenVBand="0" w:oddHBand="0" w:evenHBand="0" w:firstRowFirstColumn="0" w:firstRowLastColumn="0" w:lastRowFirstColumn="0" w:lastRowLastColumn="0"/>
            <w:tcW w:w="997" w:type="dxa"/>
          </w:tcPr>
          <w:p w14:paraId="5DCCB25F"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30,38 </w:t>
            </w:r>
          </w:p>
        </w:tc>
        <w:tc>
          <w:tcPr>
            <w:tcW w:w="1497" w:type="dxa"/>
            <w:gridSpan w:val="2"/>
          </w:tcPr>
          <w:p w14:paraId="10E3D961"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8-Heptadecene </w:t>
            </w:r>
          </w:p>
        </w:tc>
        <w:tc>
          <w:tcPr>
            <w:tcW w:w="1389" w:type="dxa"/>
            <w:gridSpan w:val="2"/>
          </w:tcPr>
          <w:p w14:paraId="1017232D"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C</w:t>
            </w:r>
            <w:r w:rsidRPr="00D32DFE">
              <w:rPr>
                <w:rFonts w:ascii="Times New Roman" w:eastAsia="Times New Roman" w:hAnsi="Times New Roman" w:cs="Times New Roman"/>
                <w:sz w:val="16"/>
                <w:szCs w:val="16"/>
                <w:vertAlign w:val="subscript"/>
                <w:lang w:val="id" w:eastAsia="id-ID"/>
              </w:rPr>
              <w:t>17</w:t>
            </w:r>
            <w:r w:rsidRPr="00D32DFE">
              <w:rPr>
                <w:rFonts w:ascii="Times New Roman" w:eastAsia="Times New Roman" w:hAnsi="Times New Roman" w:cs="Times New Roman"/>
                <w:sz w:val="16"/>
                <w:szCs w:val="16"/>
                <w:lang w:val="id" w:eastAsia="id-ID"/>
              </w:rPr>
              <w:t>H</w:t>
            </w:r>
            <w:r w:rsidRPr="00D32DFE">
              <w:rPr>
                <w:rFonts w:ascii="Times New Roman" w:eastAsia="Times New Roman" w:hAnsi="Times New Roman" w:cs="Times New Roman"/>
                <w:sz w:val="16"/>
                <w:szCs w:val="16"/>
                <w:vertAlign w:val="subscript"/>
                <w:lang w:val="id" w:eastAsia="id-ID"/>
              </w:rPr>
              <w:t>34</w:t>
            </w:r>
            <w:r w:rsidRPr="00D32DFE">
              <w:rPr>
                <w:rFonts w:ascii="Times New Roman" w:eastAsia="Times New Roman" w:hAnsi="Times New Roman" w:cs="Times New Roman"/>
                <w:sz w:val="16"/>
                <w:szCs w:val="16"/>
                <w:lang w:val="id" w:eastAsia="id-ID"/>
              </w:rPr>
              <w:t xml:space="preserve"> </w:t>
            </w:r>
          </w:p>
        </w:tc>
        <w:tc>
          <w:tcPr>
            <w:tcW w:w="738" w:type="dxa"/>
            <w:gridSpan w:val="2"/>
          </w:tcPr>
          <w:p w14:paraId="62AD2D05" w14:textId="77777777" w:rsidR="00B22A97" w:rsidRPr="00D32DFE" w:rsidRDefault="00B22A97" w:rsidP="00CA61C0">
            <w:pPr>
              <w:spacing w:before="100" w:beforeAutospacing="1" w:after="100" w:afterAutospacing="1"/>
              <w:ind w:firstLine="2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0,13 </w:t>
            </w:r>
          </w:p>
        </w:tc>
      </w:tr>
      <w:tr w:rsidR="00D32DFE" w:rsidRPr="00D32DFE" w14:paraId="46107D80" w14:textId="77777777" w:rsidTr="00810CA8">
        <w:trPr>
          <w:gridAfter w:val="1"/>
          <w:wAfter w:w="220" w:type="dxa"/>
          <w:trHeight w:val="223"/>
        </w:trPr>
        <w:tc>
          <w:tcPr>
            <w:cnfStyle w:val="001000000000" w:firstRow="0" w:lastRow="0" w:firstColumn="1" w:lastColumn="0" w:oddVBand="0" w:evenVBand="0" w:oddHBand="0" w:evenHBand="0" w:firstRowFirstColumn="0" w:firstRowLastColumn="0" w:lastRowFirstColumn="0" w:lastRowLastColumn="0"/>
            <w:tcW w:w="997" w:type="dxa"/>
          </w:tcPr>
          <w:p w14:paraId="5AC18B6B"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38,64 </w:t>
            </w:r>
          </w:p>
        </w:tc>
        <w:tc>
          <w:tcPr>
            <w:tcW w:w="1497" w:type="dxa"/>
            <w:gridSpan w:val="2"/>
          </w:tcPr>
          <w:p w14:paraId="4E0E6B13" w14:textId="77777777" w:rsidR="00B22A97" w:rsidRPr="00D32DFE" w:rsidRDefault="00B22A97" w:rsidP="00CA61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9-Nonadecene </w:t>
            </w:r>
          </w:p>
        </w:tc>
        <w:tc>
          <w:tcPr>
            <w:tcW w:w="1389" w:type="dxa"/>
            <w:gridSpan w:val="2"/>
          </w:tcPr>
          <w:p w14:paraId="1A2EA4A0" w14:textId="77777777" w:rsidR="00B22A97" w:rsidRPr="00D32DFE" w:rsidRDefault="00B22A97" w:rsidP="00CA61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C</w:t>
            </w:r>
            <w:r w:rsidRPr="00D32DFE">
              <w:rPr>
                <w:rFonts w:ascii="Times New Roman" w:eastAsia="Times New Roman" w:hAnsi="Times New Roman" w:cs="Times New Roman"/>
                <w:sz w:val="16"/>
                <w:szCs w:val="16"/>
                <w:vertAlign w:val="subscript"/>
                <w:lang w:val="id" w:eastAsia="id-ID"/>
              </w:rPr>
              <w:t>19</w:t>
            </w:r>
            <w:r w:rsidRPr="00D32DFE">
              <w:rPr>
                <w:rFonts w:ascii="Times New Roman" w:eastAsia="Times New Roman" w:hAnsi="Times New Roman" w:cs="Times New Roman"/>
                <w:sz w:val="16"/>
                <w:szCs w:val="16"/>
                <w:lang w:val="id" w:eastAsia="id-ID"/>
              </w:rPr>
              <w:t>H</w:t>
            </w:r>
            <w:r w:rsidRPr="00D32DFE">
              <w:rPr>
                <w:rFonts w:ascii="Times New Roman" w:eastAsia="Times New Roman" w:hAnsi="Times New Roman" w:cs="Times New Roman"/>
                <w:sz w:val="16"/>
                <w:szCs w:val="16"/>
                <w:vertAlign w:val="subscript"/>
                <w:lang w:val="id" w:eastAsia="id-ID"/>
              </w:rPr>
              <w:t xml:space="preserve">38 </w:t>
            </w:r>
          </w:p>
        </w:tc>
        <w:tc>
          <w:tcPr>
            <w:tcW w:w="738" w:type="dxa"/>
            <w:gridSpan w:val="2"/>
          </w:tcPr>
          <w:p w14:paraId="0A6E571C" w14:textId="77777777" w:rsidR="00B22A97" w:rsidRPr="00D32DFE" w:rsidRDefault="00B22A97" w:rsidP="00CA61C0">
            <w:pPr>
              <w:spacing w:before="100" w:beforeAutospacing="1" w:after="100" w:afterAutospacing="1"/>
              <w:ind w:firstLine="2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0,27 </w:t>
            </w:r>
          </w:p>
        </w:tc>
      </w:tr>
      <w:tr w:rsidR="00D32DFE" w:rsidRPr="00D32DFE" w14:paraId="173DEE68" w14:textId="77777777" w:rsidTr="00810CA8">
        <w:trPr>
          <w:gridAfter w:val="1"/>
          <w:cnfStyle w:val="000000100000" w:firstRow="0" w:lastRow="0" w:firstColumn="0" w:lastColumn="0" w:oddVBand="0" w:evenVBand="0" w:oddHBand="1" w:evenHBand="0" w:firstRowFirstColumn="0" w:firstRowLastColumn="0" w:lastRowFirstColumn="0" w:lastRowLastColumn="0"/>
          <w:wAfter w:w="220" w:type="dxa"/>
          <w:trHeight w:val="417"/>
        </w:trPr>
        <w:tc>
          <w:tcPr>
            <w:cnfStyle w:val="001000000000" w:firstRow="0" w:lastRow="0" w:firstColumn="1" w:lastColumn="0" w:oddVBand="0" w:evenVBand="0" w:oddHBand="0" w:evenHBand="0" w:firstRowFirstColumn="0" w:firstRowLastColumn="0" w:lastRowFirstColumn="0" w:lastRowLastColumn="0"/>
            <w:tcW w:w="997" w:type="dxa"/>
          </w:tcPr>
          <w:p w14:paraId="01AB776A"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38,64 </w:t>
            </w:r>
          </w:p>
        </w:tc>
        <w:tc>
          <w:tcPr>
            <w:tcW w:w="1497" w:type="dxa"/>
            <w:gridSpan w:val="2"/>
          </w:tcPr>
          <w:p w14:paraId="2A10BDCE"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10-Heneikosen</w:t>
            </w:r>
          </w:p>
          <w:p w14:paraId="5F4E4654"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(c,t)</w:t>
            </w:r>
          </w:p>
        </w:tc>
        <w:tc>
          <w:tcPr>
            <w:tcW w:w="1389" w:type="dxa"/>
            <w:gridSpan w:val="2"/>
          </w:tcPr>
          <w:p w14:paraId="58ECE1BA"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C </w:t>
            </w:r>
            <w:r w:rsidRPr="00D32DFE">
              <w:rPr>
                <w:rFonts w:ascii="Times New Roman" w:eastAsia="Times New Roman" w:hAnsi="Times New Roman" w:cs="Times New Roman"/>
                <w:sz w:val="16"/>
                <w:szCs w:val="16"/>
                <w:vertAlign w:val="subscript"/>
                <w:lang w:val="id" w:eastAsia="id-ID"/>
              </w:rPr>
              <w:t xml:space="preserve">21 </w:t>
            </w:r>
            <w:r w:rsidRPr="00D32DFE">
              <w:rPr>
                <w:rFonts w:ascii="Times New Roman" w:eastAsia="Times New Roman" w:hAnsi="Times New Roman" w:cs="Times New Roman"/>
                <w:sz w:val="16"/>
                <w:szCs w:val="16"/>
                <w:lang w:val="id" w:eastAsia="id-ID"/>
              </w:rPr>
              <w:t xml:space="preserve">H </w:t>
            </w:r>
            <w:r w:rsidRPr="00D32DFE">
              <w:rPr>
                <w:rFonts w:ascii="Times New Roman" w:eastAsia="Times New Roman" w:hAnsi="Times New Roman" w:cs="Times New Roman"/>
                <w:sz w:val="16"/>
                <w:szCs w:val="16"/>
                <w:vertAlign w:val="subscript"/>
                <w:lang w:val="id" w:eastAsia="id-ID"/>
              </w:rPr>
              <w:t>42</w:t>
            </w:r>
            <w:r w:rsidRPr="00D32DFE">
              <w:rPr>
                <w:rFonts w:ascii="Times New Roman" w:eastAsia="Times New Roman" w:hAnsi="Times New Roman" w:cs="Times New Roman"/>
                <w:sz w:val="16"/>
                <w:szCs w:val="16"/>
                <w:lang w:val="id" w:eastAsia="id-ID"/>
              </w:rPr>
              <w:t xml:space="preserve"> </w:t>
            </w:r>
          </w:p>
        </w:tc>
        <w:tc>
          <w:tcPr>
            <w:tcW w:w="738" w:type="dxa"/>
            <w:gridSpan w:val="2"/>
          </w:tcPr>
          <w:p w14:paraId="129C74EA" w14:textId="77777777" w:rsidR="00B22A97" w:rsidRPr="00D32DFE" w:rsidRDefault="00B22A97" w:rsidP="00CA61C0">
            <w:pPr>
              <w:spacing w:before="100" w:beforeAutospacing="1" w:after="100" w:afterAutospacing="1"/>
              <w:ind w:firstLine="2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0,27</w:t>
            </w:r>
          </w:p>
        </w:tc>
      </w:tr>
      <w:tr w:rsidR="00D32DFE" w:rsidRPr="00D32DFE" w14:paraId="303DE569" w14:textId="77777777" w:rsidTr="00810CA8">
        <w:trPr>
          <w:gridAfter w:val="1"/>
          <w:wAfter w:w="220" w:type="dxa"/>
          <w:trHeight w:val="224"/>
        </w:trPr>
        <w:tc>
          <w:tcPr>
            <w:cnfStyle w:val="001000000000" w:firstRow="0" w:lastRow="0" w:firstColumn="1" w:lastColumn="0" w:oddVBand="0" w:evenVBand="0" w:oddHBand="0" w:evenHBand="0" w:firstRowFirstColumn="0" w:firstRowLastColumn="0" w:lastRowFirstColumn="0" w:lastRowLastColumn="0"/>
            <w:tcW w:w="997" w:type="dxa"/>
          </w:tcPr>
          <w:p w14:paraId="3DEFC481"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43,68</w:t>
            </w:r>
          </w:p>
        </w:tc>
        <w:tc>
          <w:tcPr>
            <w:tcW w:w="1497" w:type="dxa"/>
            <w:gridSpan w:val="2"/>
          </w:tcPr>
          <w:p w14:paraId="32524F99" w14:textId="77777777" w:rsidR="00B22A97" w:rsidRPr="00D32DFE" w:rsidRDefault="00B22A97" w:rsidP="00CA61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Siklotetrakosana</w:t>
            </w:r>
          </w:p>
        </w:tc>
        <w:tc>
          <w:tcPr>
            <w:tcW w:w="1389" w:type="dxa"/>
            <w:gridSpan w:val="2"/>
          </w:tcPr>
          <w:p w14:paraId="1AC4660B" w14:textId="77777777" w:rsidR="00B22A97" w:rsidRPr="00D32DFE" w:rsidRDefault="00B22A97" w:rsidP="00CA61C0">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C </w:t>
            </w:r>
            <w:r w:rsidRPr="00D32DFE">
              <w:rPr>
                <w:rFonts w:ascii="Times New Roman" w:eastAsia="Times New Roman" w:hAnsi="Times New Roman" w:cs="Times New Roman"/>
                <w:sz w:val="16"/>
                <w:szCs w:val="16"/>
                <w:vertAlign w:val="subscript"/>
                <w:lang w:val="id" w:eastAsia="id-ID"/>
              </w:rPr>
              <w:t xml:space="preserve">24 </w:t>
            </w:r>
            <w:r w:rsidRPr="00D32DFE">
              <w:rPr>
                <w:rFonts w:ascii="Times New Roman" w:eastAsia="Times New Roman" w:hAnsi="Times New Roman" w:cs="Times New Roman"/>
                <w:sz w:val="16"/>
                <w:szCs w:val="16"/>
                <w:lang w:val="id" w:eastAsia="id-ID"/>
              </w:rPr>
              <w:t xml:space="preserve">Jam </w:t>
            </w:r>
            <w:r w:rsidRPr="00D32DFE">
              <w:rPr>
                <w:rFonts w:ascii="Times New Roman" w:eastAsia="Times New Roman" w:hAnsi="Times New Roman" w:cs="Times New Roman"/>
                <w:sz w:val="16"/>
                <w:szCs w:val="16"/>
                <w:vertAlign w:val="subscript"/>
                <w:lang w:val="id" w:eastAsia="id-ID"/>
              </w:rPr>
              <w:t>48 Jam</w:t>
            </w:r>
          </w:p>
        </w:tc>
        <w:tc>
          <w:tcPr>
            <w:tcW w:w="738" w:type="dxa"/>
            <w:gridSpan w:val="2"/>
          </w:tcPr>
          <w:p w14:paraId="7B8B7614" w14:textId="77777777" w:rsidR="00B22A97" w:rsidRPr="00D32DFE" w:rsidRDefault="00B22A97" w:rsidP="00CA61C0">
            <w:pPr>
              <w:spacing w:before="100" w:beforeAutospacing="1" w:after="100" w:afterAutospacing="1"/>
              <w:ind w:firstLine="2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0,45</w:t>
            </w:r>
          </w:p>
        </w:tc>
      </w:tr>
      <w:tr w:rsidR="00D32DFE" w:rsidRPr="00D32DFE" w14:paraId="75CEA88C" w14:textId="77777777" w:rsidTr="00810CA8">
        <w:trPr>
          <w:gridAfter w:val="1"/>
          <w:cnfStyle w:val="000000100000" w:firstRow="0" w:lastRow="0" w:firstColumn="0" w:lastColumn="0" w:oddVBand="0" w:evenVBand="0" w:oddHBand="1" w:evenHBand="0" w:firstRowFirstColumn="0" w:firstRowLastColumn="0" w:lastRowFirstColumn="0" w:lastRowLastColumn="0"/>
          <w:wAfter w:w="220" w:type="dxa"/>
          <w:trHeight w:val="445"/>
        </w:trPr>
        <w:tc>
          <w:tcPr>
            <w:cnfStyle w:val="001000000000" w:firstRow="0" w:lastRow="0" w:firstColumn="1" w:lastColumn="0" w:oddVBand="0" w:evenVBand="0" w:oddHBand="0" w:evenHBand="0" w:firstRowFirstColumn="0" w:firstRowLastColumn="0" w:lastRowFirstColumn="0" w:lastRowLastColumn="0"/>
            <w:tcW w:w="997" w:type="dxa"/>
          </w:tcPr>
          <w:p w14:paraId="5196C8A2" w14:textId="77777777" w:rsidR="00B22A97" w:rsidRPr="00D32DFE" w:rsidRDefault="00B22A97" w:rsidP="00CA61C0">
            <w:pPr>
              <w:spacing w:before="100" w:beforeAutospacing="1" w:after="100" w:afterAutospacing="1"/>
              <w:ind w:firstLine="34"/>
              <w:jc w:val="both"/>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55,82</w:t>
            </w:r>
          </w:p>
        </w:tc>
        <w:tc>
          <w:tcPr>
            <w:tcW w:w="1497" w:type="dxa"/>
            <w:gridSpan w:val="2"/>
          </w:tcPr>
          <w:p w14:paraId="209BC060"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Heptadekana, 9heksil-</w:t>
            </w:r>
          </w:p>
        </w:tc>
        <w:tc>
          <w:tcPr>
            <w:tcW w:w="1389" w:type="dxa"/>
            <w:gridSpan w:val="2"/>
          </w:tcPr>
          <w:p w14:paraId="122FEE55" w14:textId="77777777" w:rsidR="00B22A97" w:rsidRPr="00D32DFE" w:rsidRDefault="00B22A97" w:rsidP="00CA61C0">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 xml:space="preserve">C </w:t>
            </w:r>
            <w:r w:rsidRPr="00D32DFE">
              <w:rPr>
                <w:rFonts w:ascii="Times New Roman" w:eastAsia="Times New Roman" w:hAnsi="Times New Roman" w:cs="Times New Roman"/>
                <w:sz w:val="16"/>
                <w:szCs w:val="16"/>
                <w:vertAlign w:val="subscript"/>
                <w:lang w:val="id" w:eastAsia="id-ID"/>
              </w:rPr>
              <w:t xml:space="preserve">23 </w:t>
            </w:r>
            <w:r w:rsidRPr="00D32DFE">
              <w:rPr>
                <w:rFonts w:ascii="Times New Roman" w:eastAsia="Times New Roman" w:hAnsi="Times New Roman" w:cs="Times New Roman"/>
                <w:sz w:val="16"/>
                <w:szCs w:val="16"/>
                <w:lang w:val="id" w:eastAsia="id-ID"/>
              </w:rPr>
              <w:t xml:space="preserve">H </w:t>
            </w:r>
            <w:r w:rsidRPr="00D32DFE">
              <w:rPr>
                <w:rFonts w:ascii="Times New Roman" w:eastAsia="Times New Roman" w:hAnsi="Times New Roman" w:cs="Times New Roman"/>
                <w:sz w:val="16"/>
                <w:szCs w:val="16"/>
                <w:vertAlign w:val="subscript"/>
                <w:lang w:val="id" w:eastAsia="id-ID"/>
              </w:rPr>
              <w:t>48</w:t>
            </w:r>
            <w:r w:rsidRPr="00D32DFE">
              <w:rPr>
                <w:rFonts w:ascii="Times New Roman" w:eastAsia="Times New Roman" w:hAnsi="Times New Roman" w:cs="Times New Roman"/>
                <w:sz w:val="16"/>
                <w:szCs w:val="16"/>
                <w:lang w:val="id" w:eastAsia="id-ID"/>
              </w:rPr>
              <w:t xml:space="preserve"> </w:t>
            </w:r>
          </w:p>
        </w:tc>
        <w:tc>
          <w:tcPr>
            <w:tcW w:w="738" w:type="dxa"/>
            <w:gridSpan w:val="2"/>
          </w:tcPr>
          <w:p w14:paraId="53D6E2FB" w14:textId="77777777" w:rsidR="00B22A97" w:rsidRPr="00D32DFE" w:rsidRDefault="00B22A97" w:rsidP="00CA61C0">
            <w:pPr>
              <w:spacing w:before="100" w:beforeAutospacing="1" w:after="100" w:afterAutospacing="1"/>
              <w:ind w:firstLine="29"/>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val="id" w:eastAsia="id-ID"/>
              </w:rPr>
            </w:pPr>
            <w:r w:rsidRPr="00D32DFE">
              <w:rPr>
                <w:rFonts w:ascii="Times New Roman" w:eastAsia="Times New Roman" w:hAnsi="Times New Roman" w:cs="Times New Roman"/>
                <w:sz w:val="16"/>
                <w:szCs w:val="16"/>
                <w:lang w:val="id" w:eastAsia="id-ID"/>
              </w:rPr>
              <w:t>2,53</w:t>
            </w:r>
          </w:p>
        </w:tc>
      </w:tr>
    </w:tbl>
    <w:p w14:paraId="1424FC3F" w14:textId="77777777" w:rsidR="00B22A97" w:rsidRPr="00B22A97" w:rsidRDefault="00B22A97" w:rsidP="00B22A97">
      <w:pPr>
        <w:numPr>
          <w:ilvl w:val="0"/>
          <w:numId w:val="19"/>
        </w:numPr>
        <w:spacing w:before="100" w:beforeAutospacing="1" w:after="100" w:afterAutospacing="1" w:line="240" w:lineRule="auto"/>
        <w:jc w:val="both"/>
        <w:rPr>
          <w:rFonts w:ascii="Times New Roman" w:eastAsia="Times New Roman" w:hAnsi="Times New Roman" w:cs="Times New Roman"/>
          <w:b/>
          <w:sz w:val="20"/>
          <w:szCs w:val="20"/>
          <w:lang w:val="id" w:eastAsia="id-ID"/>
        </w:rPr>
      </w:pPr>
      <w:r w:rsidRPr="00B22A97">
        <w:rPr>
          <w:rFonts w:ascii="Times New Roman" w:eastAsia="Times New Roman" w:hAnsi="Times New Roman" w:cs="Times New Roman"/>
          <w:b/>
          <w:sz w:val="20"/>
          <w:szCs w:val="20"/>
          <w:lang w:val="id" w:eastAsia="id-ID"/>
        </w:rPr>
        <w:t>KESIMPULAN​</w:t>
      </w:r>
    </w:p>
    <w:p w14:paraId="059AB030" w14:textId="1D530778" w:rsidR="00B22A97" w:rsidRPr="00CA61C0" w:rsidRDefault="00B22A97" w:rsidP="00CA61C0">
      <w:pPr>
        <w:spacing w:before="100" w:beforeAutospacing="1" w:after="100" w:afterAutospacing="1" w:line="240" w:lineRule="auto"/>
        <w:ind w:firstLine="567"/>
        <w:jc w:val="both"/>
        <w:rPr>
          <w:rFonts w:ascii="Times New Roman" w:eastAsia="Times New Roman" w:hAnsi="Times New Roman" w:cs="Times New Roman"/>
          <w:sz w:val="20"/>
          <w:szCs w:val="20"/>
          <w:lang w:val="id" w:eastAsia="id-ID"/>
        </w:rPr>
      </w:pPr>
      <w:r w:rsidRPr="00B22A97">
        <w:rPr>
          <w:rFonts w:ascii="Times New Roman" w:eastAsia="Times New Roman" w:hAnsi="Times New Roman" w:cs="Times New Roman"/>
          <w:sz w:val="20"/>
          <w:szCs w:val="20"/>
          <w:lang w:val="id" w:eastAsia="id-ID"/>
        </w:rPr>
        <w:t>Secara ringkas, penggunaan katalis TiO</w:t>
      </w:r>
      <w:r w:rsidRPr="00CA61C0">
        <w:rPr>
          <w:rFonts w:ascii="Times New Roman" w:eastAsia="Times New Roman" w:hAnsi="Times New Roman" w:cs="Times New Roman"/>
          <w:sz w:val="20"/>
          <w:szCs w:val="20"/>
          <w:vertAlign w:val="subscript"/>
          <w:lang w:val="id" w:eastAsia="id-ID"/>
        </w:rPr>
        <w:t>2</w:t>
      </w:r>
      <w:r w:rsidRPr="00B22A97">
        <w:rPr>
          <w:rFonts w:ascii="Times New Roman" w:eastAsia="Times New Roman" w:hAnsi="Times New Roman" w:cs="Times New Roman"/>
          <w:sz w:val="20"/>
          <w:szCs w:val="20"/>
          <w:lang w:val="id" w:eastAsia="id-ID"/>
        </w:rPr>
        <w:t xml:space="preserve"> </w:t>
      </w:r>
      <w:r w:rsidRPr="00CA61C0">
        <w:rPr>
          <w:rFonts w:ascii="Times New Roman" w:eastAsia="Times New Roman" w:hAnsi="Times New Roman" w:cs="Times New Roman"/>
          <w:sz w:val="20"/>
          <w:szCs w:val="20"/>
          <w:lang w:val="id" w:eastAsia="id-ID"/>
        </w:rPr>
        <w:t xml:space="preserve">dapat </w:t>
      </w:r>
      <w:r w:rsidRPr="00B22A97">
        <w:rPr>
          <w:rFonts w:ascii="Times New Roman" w:eastAsia="Times New Roman" w:hAnsi="Times New Roman" w:cs="Times New Roman"/>
          <w:sz w:val="20"/>
          <w:szCs w:val="20"/>
          <w:lang w:val="id" w:eastAsia="id-ID"/>
        </w:rPr>
        <w:t>meningkatkan proses pemutusan ikatan karboksil asam oleat, linoleat, dan palmitat dari masing-masing minyak, sehingga meningkatkan konversi dan yield produk dekarboksilasi. Perbedaan jenis asam lemak dominan beberapa minyak nabati mempengaruhi kondisi operasi proses dekarboksilasi, terutama suhu reaksi akibat perbedaan titik didih. Semakin tinggi suhu, nilai konversi menjadi produk semakin besar. Konversi tertinggi diperoleh pada minyak kelapa sawit, jagung, dan bunga matahari sebesar 95,5803%; 92,7514%; 90,3613%. Yield produk dekarboksilasi dari minyak nabati cenderung menurun seiring dengan meningkatnya suhu reaksi akibat adanya kerugian karena dilakukan secara sistem terbuka. Yield tertinggi diperoleh pada minyak kelapa sawit, jagung, dan bunga matahari sebesar 93,6552%; 87,6600%; 87,1917%. Sampel minyak bunga matahari pada suhu 250ºC memiliki karakteristik yang mendekati produk Minarex-H dilihat dari densitas dan viskositasnya. Densitas minyak bunga matahari pada suhu 250ºC adalah 0,9503 g/ml, sedangkan viskositas kinematik minyak bunga matahari pada suhu 350ºC adalah 91,2912 cSt.</w:t>
      </w:r>
      <w:r w:rsidRPr="00B22A97">
        <w:rPr>
          <w:rFonts w:ascii="Times New Roman" w:eastAsia="Times New Roman" w:hAnsi="Times New Roman" w:cs="Times New Roman"/>
          <w:b/>
          <w:sz w:val="20"/>
          <w:szCs w:val="20"/>
          <w:lang w:val="id" w:eastAsia="id-ID"/>
        </w:rPr>
        <w:t xml:space="preserve"> </w:t>
      </w:r>
    </w:p>
    <w:p w14:paraId="4CDD06C1" w14:textId="1552501A" w:rsidR="00B22A97" w:rsidRDefault="00B22A97" w:rsidP="00CA61C0">
      <w:pPr>
        <w:spacing w:before="100" w:beforeAutospacing="1" w:after="100" w:afterAutospacing="1" w:line="240" w:lineRule="auto"/>
        <w:jc w:val="both"/>
        <w:rPr>
          <w:rFonts w:ascii="Times New Roman" w:eastAsia="Times New Roman" w:hAnsi="Times New Roman" w:cs="Times New Roman"/>
          <w:b/>
          <w:bCs/>
          <w:sz w:val="20"/>
          <w:szCs w:val="20"/>
          <w:lang w:val="id" w:eastAsia="id-ID"/>
        </w:rPr>
      </w:pPr>
      <w:r w:rsidRPr="00B22A97">
        <w:rPr>
          <w:rFonts w:ascii="Times New Roman" w:eastAsia="Times New Roman" w:hAnsi="Times New Roman" w:cs="Times New Roman"/>
          <w:b/>
          <w:bCs/>
          <w:sz w:val="20"/>
          <w:szCs w:val="20"/>
          <w:lang w:val="id" w:eastAsia="id-ID"/>
        </w:rPr>
        <w:t>Referensi</w:t>
      </w:r>
    </w:p>
    <w:p w14:paraId="2737991D"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 J. J. Dinicolantonio and J. H. O’Keefe, “Omega-6 vegetable oils as a driver of coronary heart disease: The oxidized linoleic acid hypothesis,” </w:t>
      </w:r>
      <w:r w:rsidRPr="00AA49F6">
        <w:rPr>
          <w:rFonts w:ascii="Times New Roman" w:eastAsia="Times New Roman" w:hAnsi="Times New Roman" w:cs="Times New Roman"/>
          <w:bCs/>
          <w:i/>
          <w:iCs/>
          <w:sz w:val="20"/>
          <w:szCs w:val="20"/>
          <w:lang w:eastAsia="id-ID"/>
        </w:rPr>
        <w:t>Open Heart</w:t>
      </w:r>
      <w:r w:rsidRPr="00AA49F6">
        <w:rPr>
          <w:rFonts w:ascii="Times New Roman" w:eastAsia="Times New Roman" w:hAnsi="Times New Roman" w:cs="Times New Roman"/>
          <w:bCs/>
          <w:sz w:val="20"/>
          <w:szCs w:val="20"/>
          <w:lang w:eastAsia="id-ID"/>
        </w:rPr>
        <w:t>, vol. 5, no. 2, pp. 1–6, 2018, doi: 10.1136/openhrt-2018-000898.</w:t>
      </w:r>
    </w:p>
    <w:p w14:paraId="1AF9AE80"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[2] N. H. Choulis, </w:t>
      </w:r>
      <w:r w:rsidRPr="00AA49F6">
        <w:rPr>
          <w:rFonts w:ascii="Times New Roman" w:eastAsia="Times New Roman" w:hAnsi="Times New Roman" w:cs="Times New Roman"/>
          <w:bCs/>
          <w:i/>
          <w:iCs/>
          <w:sz w:val="20"/>
          <w:szCs w:val="20"/>
          <w:lang w:eastAsia="id-ID"/>
        </w:rPr>
        <w:t>Miscellaneous Drugs, Materials, Medical Devices, and Techniques</w:t>
      </w:r>
      <w:r w:rsidRPr="00AA49F6">
        <w:rPr>
          <w:rFonts w:ascii="Times New Roman" w:eastAsia="Times New Roman" w:hAnsi="Times New Roman" w:cs="Times New Roman"/>
          <w:bCs/>
          <w:sz w:val="20"/>
          <w:szCs w:val="20"/>
          <w:lang w:eastAsia="id-ID"/>
        </w:rPr>
        <w:t>, 1st ed., vol. 33, no. 1. Elsevier B.V., 2011.</w:t>
      </w:r>
    </w:p>
    <w:p w14:paraId="77A82A7B"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[3] S. C. Savva and A. Kafatos, </w:t>
      </w:r>
      <w:r w:rsidRPr="00AA49F6">
        <w:rPr>
          <w:rFonts w:ascii="Times New Roman" w:eastAsia="Times New Roman" w:hAnsi="Times New Roman" w:cs="Times New Roman"/>
          <w:bCs/>
          <w:i/>
          <w:iCs/>
          <w:sz w:val="20"/>
          <w:szCs w:val="20"/>
          <w:lang w:eastAsia="id-ID"/>
        </w:rPr>
        <w:t>Vegetable Oils: Dietary Importance</w:t>
      </w:r>
      <w:r w:rsidRPr="00AA49F6">
        <w:rPr>
          <w:rFonts w:ascii="Times New Roman" w:eastAsia="Times New Roman" w:hAnsi="Times New Roman" w:cs="Times New Roman"/>
          <w:bCs/>
          <w:sz w:val="20"/>
          <w:szCs w:val="20"/>
          <w:lang w:eastAsia="id-ID"/>
        </w:rPr>
        <w:t>, 1st ed. Elsevier Ltd., 2015.</w:t>
      </w:r>
    </w:p>
    <w:p w14:paraId="0972A38D"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[4] H. J. Heipieper, F. Meinhardt, and A. Segura, “The cis-trans isomerase of unsaturated fatty acids in </w:t>
      </w:r>
      <w:r w:rsidRPr="00AA49F6">
        <w:rPr>
          <w:rFonts w:ascii="Times New Roman" w:eastAsia="Times New Roman" w:hAnsi="Times New Roman" w:cs="Times New Roman"/>
          <w:bCs/>
          <w:i/>
          <w:iCs/>
          <w:sz w:val="20"/>
          <w:szCs w:val="20"/>
          <w:lang w:eastAsia="id-ID"/>
        </w:rPr>
        <w:t>Pseudomonas</w:t>
      </w:r>
      <w:r w:rsidRPr="00AA49F6">
        <w:rPr>
          <w:rFonts w:ascii="Times New Roman" w:eastAsia="Times New Roman" w:hAnsi="Times New Roman" w:cs="Times New Roman"/>
          <w:bCs/>
          <w:sz w:val="20"/>
          <w:szCs w:val="20"/>
          <w:lang w:eastAsia="id-ID"/>
        </w:rPr>
        <w:t xml:space="preserve"> and </w:t>
      </w:r>
      <w:r w:rsidRPr="00AA49F6">
        <w:rPr>
          <w:rFonts w:ascii="Times New Roman" w:eastAsia="Times New Roman" w:hAnsi="Times New Roman" w:cs="Times New Roman"/>
          <w:bCs/>
          <w:i/>
          <w:iCs/>
          <w:sz w:val="20"/>
          <w:szCs w:val="20"/>
          <w:lang w:eastAsia="id-ID"/>
        </w:rPr>
        <w:t>Vibrio</w:t>
      </w:r>
      <w:r w:rsidRPr="00AA49F6">
        <w:rPr>
          <w:rFonts w:ascii="Times New Roman" w:eastAsia="Times New Roman" w:hAnsi="Times New Roman" w:cs="Times New Roman"/>
          <w:bCs/>
          <w:sz w:val="20"/>
          <w:szCs w:val="20"/>
          <w:lang w:eastAsia="id-ID"/>
        </w:rPr>
        <w:t xml:space="preserve">: Biochemistry, molecular biology and physiological function of a unique stress adaptive mechanism,” </w:t>
      </w:r>
      <w:r w:rsidRPr="00AA49F6">
        <w:rPr>
          <w:rFonts w:ascii="Times New Roman" w:eastAsia="Times New Roman" w:hAnsi="Times New Roman" w:cs="Times New Roman"/>
          <w:bCs/>
          <w:i/>
          <w:iCs/>
          <w:sz w:val="20"/>
          <w:szCs w:val="20"/>
          <w:lang w:eastAsia="id-ID"/>
        </w:rPr>
        <w:t>FEMS Microbiol. Lett.</w:t>
      </w:r>
      <w:r w:rsidRPr="00AA49F6">
        <w:rPr>
          <w:rFonts w:ascii="Times New Roman" w:eastAsia="Times New Roman" w:hAnsi="Times New Roman" w:cs="Times New Roman"/>
          <w:bCs/>
          <w:sz w:val="20"/>
          <w:szCs w:val="20"/>
          <w:lang w:eastAsia="id-ID"/>
        </w:rPr>
        <w:t>, vol. 229, no. 1, pp. 1–7, 2003, doi: 10.1016/S0378-1097(03)00792-4.</w:t>
      </w:r>
    </w:p>
    <w:p w14:paraId="0DF91D3C"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[5] D. C. Taylor, M. A. Smith, P. Fobert, E. Mietkiewska, and R. J. Weselake, </w:t>
      </w:r>
      <w:r w:rsidRPr="00AA49F6">
        <w:rPr>
          <w:rFonts w:ascii="Times New Roman" w:eastAsia="Times New Roman" w:hAnsi="Times New Roman" w:cs="Times New Roman"/>
          <w:bCs/>
          <w:i/>
          <w:iCs/>
          <w:sz w:val="20"/>
          <w:szCs w:val="20"/>
          <w:lang w:eastAsia="id-ID"/>
        </w:rPr>
        <w:t>Metabolic Engineering of Higher Plants to Produce Bio-Industrial Oils</w:t>
      </w:r>
      <w:r w:rsidRPr="00AA49F6">
        <w:rPr>
          <w:rFonts w:ascii="Times New Roman" w:eastAsia="Times New Roman" w:hAnsi="Times New Roman" w:cs="Times New Roman"/>
          <w:bCs/>
          <w:sz w:val="20"/>
          <w:szCs w:val="20"/>
          <w:lang w:eastAsia="id-ID"/>
        </w:rPr>
        <w:t>, 2nd ed., vol. 4. Elsevier B.V., 2011.</w:t>
      </w:r>
    </w:p>
    <w:p w14:paraId="28E34570"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[6] J. Fu </w:t>
      </w:r>
      <w:r w:rsidRPr="00AA49F6">
        <w:rPr>
          <w:rFonts w:ascii="Times New Roman" w:eastAsia="Times New Roman" w:hAnsi="Times New Roman" w:cs="Times New Roman"/>
          <w:bCs/>
          <w:i/>
          <w:iCs/>
          <w:sz w:val="20"/>
          <w:szCs w:val="20"/>
          <w:lang w:eastAsia="id-ID"/>
        </w:rPr>
        <w:t>et al.</w:t>
      </w:r>
      <w:r w:rsidRPr="00AA49F6">
        <w:rPr>
          <w:rFonts w:ascii="Times New Roman" w:eastAsia="Times New Roman" w:hAnsi="Times New Roman" w:cs="Times New Roman"/>
          <w:bCs/>
          <w:sz w:val="20"/>
          <w:szCs w:val="20"/>
          <w:lang w:eastAsia="id-ID"/>
        </w:rPr>
        <w:t xml:space="preserve">, “Activated Carbons for Hydrothermal Decarboxylation of Fatty Acids,” </w:t>
      </w:r>
      <w:r w:rsidRPr="00AA49F6">
        <w:rPr>
          <w:rFonts w:ascii="Times New Roman" w:eastAsia="Times New Roman" w:hAnsi="Times New Roman" w:cs="Times New Roman"/>
          <w:bCs/>
          <w:i/>
          <w:iCs/>
          <w:sz w:val="20"/>
          <w:szCs w:val="20"/>
          <w:lang w:eastAsia="id-ID"/>
        </w:rPr>
        <w:t>ACS Catalysis</w:t>
      </w:r>
      <w:r w:rsidRPr="00AA49F6">
        <w:rPr>
          <w:rFonts w:ascii="Times New Roman" w:eastAsia="Times New Roman" w:hAnsi="Times New Roman" w:cs="Times New Roman"/>
          <w:bCs/>
          <w:sz w:val="20"/>
          <w:szCs w:val="20"/>
          <w:lang w:eastAsia="id-ID"/>
        </w:rPr>
        <w:t>, vol. 1, no. 1, pp. 227–231, 2011.</w:t>
      </w:r>
    </w:p>
    <w:p w14:paraId="31EBADD5"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[7] V. J. Godin and P. C. Spensley, </w:t>
      </w:r>
      <w:r w:rsidRPr="00AA49F6">
        <w:rPr>
          <w:rFonts w:ascii="Times New Roman" w:eastAsia="Times New Roman" w:hAnsi="Times New Roman" w:cs="Times New Roman"/>
          <w:bCs/>
          <w:i/>
          <w:iCs/>
          <w:sz w:val="20"/>
          <w:szCs w:val="20"/>
          <w:lang w:eastAsia="id-ID"/>
        </w:rPr>
        <w:t>TPI Crop Product Digest Oil Seeds</w:t>
      </w:r>
      <w:r w:rsidRPr="00AA49F6">
        <w:rPr>
          <w:rFonts w:ascii="Times New Roman" w:eastAsia="Times New Roman" w:hAnsi="Times New Roman" w:cs="Times New Roman"/>
          <w:bCs/>
          <w:sz w:val="20"/>
          <w:szCs w:val="20"/>
          <w:lang w:eastAsia="id-ID"/>
        </w:rPr>
        <w:t>. London: Tropical Product Institute, 1971.</w:t>
      </w:r>
    </w:p>
    <w:p w14:paraId="39789D8B"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lastRenderedPageBreak/>
        <w:t xml:space="preserve">[8] F. D. Gunstone and B. Padley, </w:t>
      </w:r>
      <w:r w:rsidRPr="00AA49F6">
        <w:rPr>
          <w:rFonts w:ascii="Times New Roman" w:eastAsia="Times New Roman" w:hAnsi="Times New Roman" w:cs="Times New Roman"/>
          <w:bCs/>
          <w:i/>
          <w:iCs/>
          <w:sz w:val="20"/>
          <w:szCs w:val="20"/>
          <w:lang w:eastAsia="id-ID"/>
        </w:rPr>
        <w:t>Lipid Technologies and Applications</w:t>
      </w:r>
      <w:r w:rsidRPr="00AA49F6">
        <w:rPr>
          <w:rFonts w:ascii="Times New Roman" w:eastAsia="Times New Roman" w:hAnsi="Times New Roman" w:cs="Times New Roman"/>
          <w:bCs/>
          <w:sz w:val="20"/>
          <w:szCs w:val="20"/>
          <w:lang w:eastAsia="id-ID"/>
        </w:rPr>
        <w:t>. New York: Marcel Dekker Inc., 1997.</w:t>
      </w:r>
    </w:p>
    <w:p w14:paraId="6340BD2D"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[9] M. Z. Hossain </w:t>
      </w:r>
      <w:r w:rsidRPr="00AA49F6">
        <w:rPr>
          <w:rFonts w:ascii="Times New Roman" w:eastAsia="Times New Roman" w:hAnsi="Times New Roman" w:cs="Times New Roman"/>
          <w:bCs/>
          <w:i/>
          <w:iCs/>
          <w:sz w:val="20"/>
          <w:szCs w:val="20"/>
          <w:lang w:eastAsia="id-ID"/>
        </w:rPr>
        <w:t>et al.</w:t>
      </w:r>
      <w:r w:rsidRPr="00AA49F6">
        <w:rPr>
          <w:rFonts w:ascii="Times New Roman" w:eastAsia="Times New Roman" w:hAnsi="Times New Roman" w:cs="Times New Roman"/>
          <w:bCs/>
          <w:sz w:val="20"/>
          <w:szCs w:val="20"/>
          <w:lang w:eastAsia="id-ID"/>
        </w:rPr>
        <w:t xml:space="preserve">, “Continuous Hydrothermal Decarboxylation of Fatty Acids and Their Derivatives into Liquid Hydrocarbons Using Mo/Al₂O₃ Catalyst,” </w:t>
      </w:r>
      <w:r w:rsidRPr="00AA49F6">
        <w:rPr>
          <w:rFonts w:ascii="Times New Roman" w:eastAsia="Times New Roman" w:hAnsi="Times New Roman" w:cs="Times New Roman"/>
          <w:bCs/>
          <w:i/>
          <w:iCs/>
          <w:sz w:val="20"/>
          <w:szCs w:val="20"/>
          <w:lang w:eastAsia="id-ID"/>
        </w:rPr>
        <w:t>ACS Omega</w:t>
      </w:r>
      <w:r w:rsidRPr="00AA49F6">
        <w:rPr>
          <w:rFonts w:ascii="Times New Roman" w:eastAsia="Times New Roman" w:hAnsi="Times New Roman" w:cs="Times New Roman"/>
          <w:bCs/>
          <w:sz w:val="20"/>
          <w:szCs w:val="20"/>
          <w:lang w:eastAsia="id-ID"/>
        </w:rPr>
        <w:t>, vol. 3, no. 1, pp. 7046–7060, 2018.</w:t>
      </w:r>
    </w:p>
    <w:p w14:paraId="45A665D4"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[10] M. Z. Hossain, </w:t>
      </w:r>
      <w:r w:rsidRPr="00AA49F6">
        <w:rPr>
          <w:rFonts w:ascii="Times New Roman" w:eastAsia="Times New Roman" w:hAnsi="Times New Roman" w:cs="Times New Roman"/>
          <w:bCs/>
          <w:i/>
          <w:iCs/>
          <w:sz w:val="20"/>
          <w:szCs w:val="20"/>
          <w:lang w:eastAsia="id-ID"/>
        </w:rPr>
        <w:t>Hydrothermal Decarboxylation of Fatty Acids and Their Derivatives for Liquid Transportation Fuels</w:t>
      </w:r>
      <w:r w:rsidRPr="00AA49F6">
        <w:rPr>
          <w:rFonts w:ascii="Times New Roman" w:eastAsia="Times New Roman" w:hAnsi="Times New Roman" w:cs="Times New Roman"/>
          <w:bCs/>
          <w:sz w:val="20"/>
          <w:szCs w:val="20"/>
          <w:lang w:eastAsia="id-ID"/>
        </w:rPr>
        <w:t>. Thesis, Western University, 2017.</w:t>
      </w:r>
    </w:p>
    <w:p w14:paraId="1B9D40DF"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[11] H. McGee, </w:t>
      </w:r>
      <w:r w:rsidRPr="00AA49F6">
        <w:rPr>
          <w:rFonts w:ascii="Times New Roman" w:eastAsia="Times New Roman" w:hAnsi="Times New Roman" w:cs="Times New Roman"/>
          <w:bCs/>
          <w:i/>
          <w:iCs/>
          <w:sz w:val="20"/>
          <w:szCs w:val="20"/>
          <w:lang w:eastAsia="id-ID"/>
        </w:rPr>
        <w:t>On Food and Cooking: The Science and Lore of the Kitchen</w:t>
      </w:r>
      <w:r w:rsidRPr="00AA49F6">
        <w:rPr>
          <w:rFonts w:ascii="Times New Roman" w:eastAsia="Times New Roman" w:hAnsi="Times New Roman" w:cs="Times New Roman"/>
          <w:bCs/>
          <w:sz w:val="20"/>
          <w:szCs w:val="20"/>
          <w:lang w:eastAsia="id-ID"/>
        </w:rPr>
        <w:t>. New York: Macmillan Library Reference, 2004.</w:t>
      </w:r>
    </w:p>
    <w:p w14:paraId="7ACE7018"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[12] R. Raut, V. V. Banakar, and S. Darbha, “Catalytic Decarboxylation of Non-Edible Oils over Three-Dimensional, Mesoporous Silica-Supported Pd,” </w:t>
      </w:r>
      <w:r w:rsidRPr="00AA49F6">
        <w:rPr>
          <w:rFonts w:ascii="Times New Roman" w:eastAsia="Times New Roman" w:hAnsi="Times New Roman" w:cs="Times New Roman"/>
          <w:bCs/>
          <w:i/>
          <w:iCs/>
          <w:sz w:val="20"/>
          <w:szCs w:val="20"/>
          <w:lang w:eastAsia="id-ID"/>
        </w:rPr>
        <w:t>J. Mol. Catal.</w:t>
      </w:r>
      <w:r w:rsidRPr="00AA49F6">
        <w:rPr>
          <w:rFonts w:ascii="Times New Roman" w:eastAsia="Times New Roman" w:hAnsi="Times New Roman" w:cs="Times New Roman"/>
          <w:bCs/>
          <w:sz w:val="20"/>
          <w:szCs w:val="20"/>
          <w:lang w:eastAsia="id-ID"/>
        </w:rPr>
        <w:t>, vol. 417, pp. 126–134, 2016.</w:t>
      </w:r>
    </w:p>
    <w:p w14:paraId="5CAF34B0"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[13] R. D. Rieke, D. Thakur, B. Roberts, and T. White, “Fatty Methyl Ester Hydrogenation to Fatty Alcohol Part I: Correlation Between Catalyst Properties and Activity/Selectivity,” </w:t>
      </w:r>
      <w:r w:rsidRPr="00AA49F6">
        <w:rPr>
          <w:rFonts w:ascii="Times New Roman" w:eastAsia="Times New Roman" w:hAnsi="Times New Roman" w:cs="Times New Roman"/>
          <w:bCs/>
          <w:i/>
          <w:iCs/>
          <w:sz w:val="20"/>
          <w:szCs w:val="20"/>
          <w:lang w:eastAsia="id-ID"/>
        </w:rPr>
        <w:t>J. Am. Oil Chem. Soc.</w:t>
      </w:r>
      <w:r w:rsidRPr="00AA49F6">
        <w:rPr>
          <w:rFonts w:ascii="Times New Roman" w:eastAsia="Times New Roman" w:hAnsi="Times New Roman" w:cs="Times New Roman"/>
          <w:bCs/>
          <w:sz w:val="20"/>
          <w:szCs w:val="20"/>
          <w:lang w:eastAsia="id-ID"/>
        </w:rPr>
        <w:t>, vol. 74, no. 4, pp. 333–339, 1997.</w:t>
      </w:r>
    </w:p>
    <w:p w14:paraId="48853A66"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[14] R. D. Rieke, D. Thakur, B. Roberts, and T. White, “Fatty Methyl Ester Hydrogenation to Fatty Alcohol Part II: Process Issues,” </w:t>
      </w:r>
      <w:r w:rsidRPr="00AA49F6">
        <w:rPr>
          <w:rFonts w:ascii="Times New Roman" w:eastAsia="Times New Roman" w:hAnsi="Times New Roman" w:cs="Times New Roman"/>
          <w:bCs/>
          <w:i/>
          <w:iCs/>
          <w:sz w:val="20"/>
          <w:szCs w:val="20"/>
          <w:lang w:eastAsia="id-ID"/>
        </w:rPr>
        <w:t>J. Am. Oil Chem. Soc.</w:t>
      </w:r>
      <w:r w:rsidRPr="00AA49F6">
        <w:rPr>
          <w:rFonts w:ascii="Times New Roman" w:eastAsia="Times New Roman" w:hAnsi="Times New Roman" w:cs="Times New Roman"/>
          <w:bCs/>
          <w:sz w:val="20"/>
          <w:szCs w:val="20"/>
          <w:lang w:eastAsia="id-ID"/>
        </w:rPr>
        <w:t>, vol. 74, no. 4, pp. 342–345, 1997.</w:t>
      </w:r>
    </w:p>
    <w:p w14:paraId="3A1E3B90"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[15] Rukmana, </w:t>
      </w:r>
      <w:r w:rsidRPr="00AA49F6">
        <w:rPr>
          <w:rFonts w:ascii="Times New Roman" w:eastAsia="Times New Roman" w:hAnsi="Times New Roman" w:cs="Times New Roman"/>
          <w:bCs/>
          <w:i/>
          <w:iCs/>
          <w:sz w:val="20"/>
          <w:szCs w:val="20"/>
          <w:lang w:eastAsia="id-ID"/>
        </w:rPr>
        <w:t>Budidaya Bunga Matahari</w:t>
      </w:r>
      <w:r w:rsidRPr="00AA49F6">
        <w:rPr>
          <w:rFonts w:ascii="Times New Roman" w:eastAsia="Times New Roman" w:hAnsi="Times New Roman" w:cs="Times New Roman"/>
          <w:bCs/>
          <w:sz w:val="20"/>
          <w:szCs w:val="20"/>
          <w:lang w:eastAsia="id-ID"/>
        </w:rPr>
        <w:t>. Malang: Aneka Ilmu, 2004.</w:t>
      </w:r>
    </w:p>
    <w:p w14:paraId="34DFDB5B"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[16] E. Sari, </w:t>
      </w:r>
      <w:r w:rsidRPr="00AA49F6">
        <w:rPr>
          <w:rFonts w:ascii="Times New Roman" w:eastAsia="Times New Roman" w:hAnsi="Times New Roman" w:cs="Times New Roman"/>
          <w:bCs/>
          <w:i/>
          <w:iCs/>
          <w:sz w:val="20"/>
          <w:szCs w:val="20"/>
          <w:lang w:eastAsia="id-ID"/>
        </w:rPr>
        <w:t>Green Diesel Production via Catalytic Hydrogenation/Decarboxylation of Triglycerides and Fatty Acids of Vegetable Oil and Brown Grease</w:t>
      </w:r>
      <w:r w:rsidRPr="00AA49F6">
        <w:rPr>
          <w:rFonts w:ascii="Times New Roman" w:eastAsia="Times New Roman" w:hAnsi="Times New Roman" w:cs="Times New Roman"/>
          <w:bCs/>
          <w:sz w:val="20"/>
          <w:szCs w:val="20"/>
          <w:lang w:eastAsia="id-ID"/>
        </w:rPr>
        <w:t>. Dissertation, Wayne State University, Michigan, 2013.</w:t>
      </w:r>
    </w:p>
    <w:p w14:paraId="0AEEF5F2"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[17] M. Snare, A. Mäki, K. Eränen, J. Myllyoja, and D. Y. Murzin, “Continuous Decarboxylation of Lauric Acid over Pd/C Catalyst,” </w:t>
      </w:r>
      <w:r w:rsidRPr="00AA49F6">
        <w:rPr>
          <w:rFonts w:ascii="Times New Roman" w:eastAsia="Times New Roman" w:hAnsi="Times New Roman" w:cs="Times New Roman"/>
          <w:bCs/>
          <w:i/>
          <w:iCs/>
          <w:sz w:val="20"/>
          <w:szCs w:val="20"/>
          <w:lang w:eastAsia="id-ID"/>
        </w:rPr>
        <w:t>Fuel</w:t>
      </w:r>
      <w:r w:rsidRPr="00AA49F6">
        <w:rPr>
          <w:rFonts w:ascii="Times New Roman" w:eastAsia="Times New Roman" w:hAnsi="Times New Roman" w:cs="Times New Roman"/>
          <w:bCs/>
          <w:sz w:val="20"/>
          <w:szCs w:val="20"/>
          <w:lang w:eastAsia="id-ID"/>
        </w:rPr>
        <w:t>, vol. 87, pp. 3543–3549, 2009.</w:t>
      </w:r>
    </w:p>
    <w:p w14:paraId="0C5E0E1F"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[18] M. Snare, I. Kubickova, A. Mäki, K. Eränen, and D. Y. Murzin, “Heterogeneous Catalytic Deoxygenation of Stearic Acid for Production of Biodiesel,” </w:t>
      </w:r>
      <w:r w:rsidRPr="00AA49F6">
        <w:rPr>
          <w:rFonts w:ascii="Times New Roman" w:eastAsia="Times New Roman" w:hAnsi="Times New Roman" w:cs="Times New Roman"/>
          <w:bCs/>
          <w:i/>
          <w:iCs/>
          <w:sz w:val="20"/>
          <w:szCs w:val="20"/>
          <w:lang w:eastAsia="id-ID"/>
        </w:rPr>
        <w:t>Ind. Eng. Chem. Res.</w:t>
      </w:r>
      <w:r w:rsidRPr="00AA49F6">
        <w:rPr>
          <w:rFonts w:ascii="Times New Roman" w:eastAsia="Times New Roman" w:hAnsi="Times New Roman" w:cs="Times New Roman"/>
          <w:bCs/>
          <w:sz w:val="20"/>
          <w:szCs w:val="20"/>
          <w:lang w:eastAsia="id-ID"/>
        </w:rPr>
        <w:t>, vol. 45, pp. 5708–5715, 2006.</w:t>
      </w:r>
    </w:p>
    <w:p w14:paraId="0F508080"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[19] Suprapto and Supanjani, “Analisis Genetik Kuantitatif dan Kompatibilitas Sendiri dan Bunga Matahari di Lahan Ultisol,” </w:t>
      </w:r>
      <w:r w:rsidRPr="00AA49F6">
        <w:rPr>
          <w:rFonts w:ascii="Times New Roman" w:eastAsia="Times New Roman" w:hAnsi="Times New Roman" w:cs="Times New Roman"/>
          <w:bCs/>
          <w:i/>
          <w:iCs/>
          <w:sz w:val="20"/>
          <w:szCs w:val="20"/>
          <w:lang w:eastAsia="id-ID"/>
        </w:rPr>
        <w:t>J. Akta Agrosia</w:t>
      </w:r>
      <w:r w:rsidRPr="00AA49F6">
        <w:rPr>
          <w:rFonts w:ascii="Times New Roman" w:eastAsia="Times New Roman" w:hAnsi="Times New Roman" w:cs="Times New Roman"/>
          <w:bCs/>
          <w:sz w:val="20"/>
          <w:szCs w:val="20"/>
          <w:lang w:eastAsia="id-ID"/>
        </w:rPr>
        <w:t>, vol. 12, no. 1, pp. 89–97, 2009.</w:t>
      </w:r>
    </w:p>
    <w:p w14:paraId="1E5E5BAF"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[20] M. Tonya, D. Grubb, and M. Crocker, “Upgrading of Algae Oil to Hydrocarbon Fuel,” </w:t>
      </w:r>
      <w:r w:rsidRPr="00AA49F6">
        <w:rPr>
          <w:rFonts w:ascii="Times New Roman" w:eastAsia="Times New Roman" w:hAnsi="Times New Roman" w:cs="Times New Roman"/>
          <w:bCs/>
          <w:i/>
          <w:iCs/>
          <w:sz w:val="20"/>
          <w:szCs w:val="20"/>
          <w:lang w:eastAsia="id-ID"/>
        </w:rPr>
        <w:t>Science</w:t>
      </w:r>
      <w:r w:rsidRPr="00AA49F6">
        <w:rPr>
          <w:rFonts w:ascii="Times New Roman" w:eastAsia="Times New Roman" w:hAnsi="Times New Roman" w:cs="Times New Roman"/>
          <w:bCs/>
          <w:sz w:val="20"/>
          <w:szCs w:val="20"/>
          <w:lang w:eastAsia="id-ID"/>
        </w:rPr>
        <w:t>, vol. 300, pp. 2075–2077, 2008.</w:t>
      </w:r>
    </w:p>
    <w:p w14:paraId="24F0105C"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[21] P. Utami and D. S. Puspaningtyas, </w:t>
      </w:r>
      <w:r w:rsidRPr="00AA49F6">
        <w:rPr>
          <w:rFonts w:ascii="Times New Roman" w:eastAsia="Times New Roman" w:hAnsi="Times New Roman" w:cs="Times New Roman"/>
          <w:bCs/>
          <w:i/>
          <w:iCs/>
          <w:sz w:val="20"/>
          <w:szCs w:val="20"/>
          <w:lang w:eastAsia="id-ID"/>
        </w:rPr>
        <w:t>The Miracle of Herbs</w:t>
      </w:r>
      <w:r w:rsidRPr="00AA49F6">
        <w:rPr>
          <w:rFonts w:ascii="Times New Roman" w:eastAsia="Times New Roman" w:hAnsi="Times New Roman" w:cs="Times New Roman"/>
          <w:bCs/>
          <w:sz w:val="20"/>
          <w:szCs w:val="20"/>
          <w:lang w:eastAsia="id-ID"/>
        </w:rPr>
        <w:t>. Jakarta: Agro Media Pustaka, 2013.</w:t>
      </w:r>
    </w:p>
    <w:p w14:paraId="28B04D59" w14:textId="77777777" w:rsidR="00AA49F6" w:rsidRPr="00AA49F6" w:rsidRDefault="00AA49F6" w:rsidP="00AA49F6">
      <w:pPr>
        <w:spacing w:before="100" w:beforeAutospacing="1" w:after="100" w:afterAutospacing="1" w:line="240" w:lineRule="auto"/>
        <w:jc w:val="both"/>
        <w:rPr>
          <w:rFonts w:ascii="Times New Roman" w:eastAsia="Times New Roman" w:hAnsi="Times New Roman" w:cs="Times New Roman"/>
          <w:bCs/>
          <w:sz w:val="20"/>
          <w:szCs w:val="20"/>
          <w:lang w:eastAsia="id-ID"/>
        </w:rPr>
      </w:pPr>
      <w:r w:rsidRPr="00AA49F6">
        <w:rPr>
          <w:rFonts w:ascii="Times New Roman" w:eastAsia="Times New Roman" w:hAnsi="Times New Roman" w:cs="Times New Roman"/>
          <w:bCs/>
          <w:sz w:val="20"/>
          <w:szCs w:val="20"/>
          <w:lang w:eastAsia="id-ID"/>
        </w:rPr>
        <w:t xml:space="preserve">[22] J. Wu </w:t>
      </w:r>
      <w:r w:rsidRPr="00AA49F6">
        <w:rPr>
          <w:rFonts w:ascii="Times New Roman" w:eastAsia="Times New Roman" w:hAnsi="Times New Roman" w:cs="Times New Roman"/>
          <w:bCs/>
          <w:i/>
          <w:iCs/>
          <w:sz w:val="20"/>
          <w:szCs w:val="20"/>
          <w:lang w:eastAsia="id-ID"/>
        </w:rPr>
        <w:t>et al.</w:t>
      </w:r>
      <w:r w:rsidRPr="00AA49F6">
        <w:rPr>
          <w:rFonts w:ascii="Times New Roman" w:eastAsia="Times New Roman" w:hAnsi="Times New Roman" w:cs="Times New Roman"/>
          <w:bCs/>
          <w:sz w:val="20"/>
          <w:szCs w:val="20"/>
          <w:lang w:eastAsia="id-ID"/>
        </w:rPr>
        <w:t xml:space="preserve">, “Catalytic Decarboxylation of Fatty Acids to Aviation Fuels over Nickel Supported on Activated Carbon,” </w:t>
      </w:r>
      <w:r w:rsidRPr="00AA49F6">
        <w:rPr>
          <w:rFonts w:ascii="Times New Roman" w:eastAsia="Times New Roman" w:hAnsi="Times New Roman" w:cs="Times New Roman"/>
          <w:bCs/>
          <w:i/>
          <w:iCs/>
          <w:sz w:val="20"/>
          <w:szCs w:val="20"/>
          <w:lang w:eastAsia="id-ID"/>
        </w:rPr>
        <w:t>Sci. Rep.</w:t>
      </w:r>
      <w:r w:rsidRPr="00AA49F6">
        <w:rPr>
          <w:rFonts w:ascii="Times New Roman" w:eastAsia="Times New Roman" w:hAnsi="Times New Roman" w:cs="Times New Roman"/>
          <w:bCs/>
          <w:sz w:val="20"/>
          <w:szCs w:val="20"/>
          <w:lang w:eastAsia="id-ID"/>
        </w:rPr>
        <w:t>, vol. 1, no. 1, pp. 1–8, 2016.</w:t>
      </w:r>
    </w:p>
    <w:p w14:paraId="17E2B396" w14:textId="77777777" w:rsidR="00CA61C0" w:rsidRPr="00AA49F6" w:rsidRDefault="00CA61C0" w:rsidP="00CA61C0">
      <w:pPr>
        <w:spacing w:before="100" w:beforeAutospacing="1" w:after="100" w:afterAutospacing="1" w:line="240" w:lineRule="auto"/>
        <w:jc w:val="both"/>
        <w:rPr>
          <w:rFonts w:ascii="Times New Roman" w:eastAsia="Times New Roman" w:hAnsi="Times New Roman" w:cs="Times New Roman"/>
          <w:bCs/>
          <w:sz w:val="20"/>
          <w:szCs w:val="20"/>
          <w:lang w:val="id" w:eastAsia="id-ID"/>
        </w:rPr>
      </w:pPr>
    </w:p>
    <w:sectPr w:rsidR="00CA61C0" w:rsidRPr="00AA49F6" w:rsidSect="00CA61C0">
      <w:headerReference w:type="even" r:id="rId18"/>
      <w:headerReference w:type="default" r:id="rId19"/>
      <w:pgSz w:w="11906" w:h="16838" w:code="9"/>
      <w:pgMar w:top="1684" w:right="1129" w:bottom="722" w:left="1133" w:header="720" w:footer="720" w:gutter="0"/>
      <w:cols w:num="2" w:space="672"/>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B50B8" w14:textId="77777777" w:rsidR="00E8111D" w:rsidRDefault="00E8111D" w:rsidP="00CF5E87">
      <w:pPr>
        <w:spacing w:after="0" w:line="240" w:lineRule="auto"/>
      </w:pPr>
      <w:r>
        <w:separator/>
      </w:r>
    </w:p>
  </w:endnote>
  <w:endnote w:type="continuationSeparator" w:id="0">
    <w:p w14:paraId="25EC897D" w14:textId="77777777" w:rsidR="00E8111D" w:rsidRDefault="00E8111D" w:rsidP="00CF5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ek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B7797" w14:textId="77777777" w:rsidR="00E8111D" w:rsidRDefault="00E8111D" w:rsidP="00CF5E87">
      <w:pPr>
        <w:spacing w:after="0" w:line="240" w:lineRule="auto"/>
      </w:pPr>
      <w:r>
        <w:separator/>
      </w:r>
    </w:p>
  </w:footnote>
  <w:footnote w:type="continuationSeparator" w:id="0">
    <w:p w14:paraId="2ED182A5" w14:textId="77777777" w:rsidR="00E8111D" w:rsidRDefault="00E8111D" w:rsidP="00CF5E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263C6" w14:textId="7BD9BC22" w:rsidR="002633F3" w:rsidRPr="00225851" w:rsidRDefault="00225851" w:rsidP="00225851">
    <w:pPr>
      <w:tabs>
        <w:tab w:val="center" w:pos="4252"/>
        <w:tab w:val="right" w:pos="8504"/>
      </w:tabs>
      <w:spacing w:before="80"/>
      <w:rPr>
        <w:rFonts w:ascii="Times New Roman" w:eastAsia="Times New Roman" w:hAnsi="Times New Roman"/>
        <w:i/>
        <w:sz w:val="18"/>
        <w:szCs w:val="18"/>
        <w:lang w:val="en-US"/>
      </w:rPr>
    </w:pPr>
    <w:r>
      <w:rPr>
        <w:rFonts w:ascii="Times New Roman" w:eastAsia="Times New Roman" w:hAnsi="Times New Roman"/>
        <w:i/>
        <w:sz w:val="18"/>
        <w:szCs w:val="18"/>
      </w:rPr>
      <w:tab/>
    </w:r>
    <w:r w:rsidR="00B22A97">
      <w:rPr>
        <w:rFonts w:ascii="Times New Roman" w:eastAsia="Times New Roman" w:hAnsi="Times New Roman"/>
        <w:i/>
        <w:sz w:val="18"/>
        <w:szCs w:val="18"/>
      </w:rPr>
      <w:t>Santoso, B</w:t>
    </w:r>
    <w:r>
      <w:rPr>
        <w:rFonts w:ascii="Times New Roman" w:eastAsia="Times New Roman" w:hAnsi="Times New Roman"/>
        <w:i/>
        <w:sz w:val="18"/>
        <w:szCs w:val="18"/>
      </w:rPr>
      <w:t>,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E15B8" w14:textId="77777777" w:rsidR="002B0F29" w:rsidRPr="00CF5E87" w:rsidRDefault="002B0F29" w:rsidP="00CF5E87">
    <w:pPr>
      <w:spacing w:after="0"/>
      <w:textDirection w:val="btLr"/>
      <w:rPr>
        <w:rFonts w:ascii="Times New Roman" w:hAnsi="Times New Roman" w:cs="Times New Roman"/>
        <w:sz w:val="24"/>
        <w:szCs w:val="24"/>
      </w:rPr>
    </w:pPr>
    <w:r>
      <w:rPr>
        <w:i/>
        <w:noProof/>
        <w:color w:val="000000"/>
        <w:sz w:val="18"/>
        <w:szCs w:val="18"/>
        <w:lang w:eastAsia="id-ID"/>
      </w:rPr>
      <w:drawing>
        <wp:anchor distT="0" distB="0" distL="114300" distR="114300" simplePos="0" relativeHeight="251659264" behindDoc="1" locked="0" layoutInCell="1" allowOverlap="1" wp14:anchorId="69F98EA5" wp14:editId="25E244E8">
          <wp:simplePos x="0" y="0"/>
          <wp:positionH relativeFrom="column">
            <wp:posOffset>4538345</wp:posOffset>
          </wp:positionH>
          <wp:positionV relativeFrom="paragraph">
            <wp:posOffset>-230505</wp:posOffset>
          </wp:positionV>
          <wp:extent cx="1799590" cy="693420"/>
          <wp:effectExtent l="0" t="0" r="0" b="0"/>
          <wp:wrapThrough wrapText="bothSides">
            <wp:wrapPolygon edited="0">
              <wp:start x="0" y="0"/>
              <wp:lineTo x="0" y="20769"/>
              <wp:lineTo x="21265" y="20769"/>
              <wp:lineTo x="21265" y="0"/>
              <wp:lineTo x="0" y="0"/>
            </wp:wrapPolygon>
          </wp:wrapThrough>
          <wp:docPr id="548049982" name="Picture 548049982" descr="C:\Users\User\Downloads\Logo AVo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Logo AVo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17" t="23261" r="6231" b="28671"/>
                  <a:stretch/>
                </pic:blipFill>
                <pic:spPr bwMode="auto">
                  <a:xfrm>
                    <a:off x="0" y="0"/>
                    <a:ext cx="179959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5E87">
      <w:rPr>
        <w:rFonts w:ascii="Times New Roman" w:eastAsia="Teko" w:hAnsi="Times New Roman" w:cs="Times New Roman"/>
        <w:b/>
        <w:color w:val="000000"/>
        <w:sz w:val="24"/>
        <w:szCs w:val="24"/>
      </w:rPr>
      <w:t>Seminar Nasional AVoER 17</w:t>
    </w:r>
  </w:p>
  <w:p w14:paraId="750402E4" w14:textId="77777777" w:rsidR="002B0F29" w:rsidRPr="00CF5E87" w:rsidRDefault="002B0F29" w:rsidP="00CF5E87">
    <w:pPr>
      <w:spacing w:after="0"/>
      <w:textDirection w:val="btLr"/>
      <w:rPr>
        <w:rFonts w:ascii="Times New Roman" w:hAnsi="Times New Roman" w:cs="Times New Roman"/>
        <w:sz w:val="24"/>
        <w:szCs w:val="24"/>
      </w:rPr>
    </w:pPr>
    <w:r w:rsidRPr="00CF5E87">
      <w:rPr>
        <w:rFonts w:ascii="Times New Roman" w:eastAsia="Teko" w:hAnsi="Times New Roman" w:cs="Times New Roman"/>
        <w:b/>
        <w:color w:val="000000"/>
        <w:sz w:val="24"/>
        <w:szCs w:val="24"/>
      </w:rPr>
      <w:t>Palembang, 5 – 6 November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3A519" w14:textId="77777777" w:rsidR="00A84361" w:rsidRPr="00CF5E87" w:rsidRDefault="00A84361" w:rsidP="00A84361">
    <w:pPr>
      <w:spacing w:after="0"/>
      <w:textDirection w:val="btLr"/>
      <w:rPr>
        <w:rFonts w:ascii="Times New Roman" w:hAnsi="Times New Roman" w:cs="Times New Roman"/>
        <w:sz w:val="24"/>
        <w:szCs w:val="24"/>
      </w:rPr>
    </w:pPr>
    <w:r>
      <w:rPr>
        <w:i/>
        <w:noProof/>
        <w:color w:val="000000"/>
        <w:sz w:val="18"/>
        <w:szCs w:val="18"/>
        <w:lang w:eastAsia="id-ID"/>
      </w:rPr>
      <w:drawing>
        <wp:anchor distT="0" distB="0" distL="114300" distR="114300" simplePos="0" relativeHeight="251661312" behindDoc="1" locked="0" layoutInCell="1" allowOverlap="1" wp14:anchorId="592DF571" wp14:editId="532DC432">
          <wp:simplePos x="0" y="0"/>
          <wp:positionH relativeFrom="column">
            <wp:posOffset>4538345</wp:posOffset>
          </wp:positionH>
          <wp:positionV relativeFrom="paragraph">
            <wp:posOffset>-230505</wp:posOffset>
          </wp:positionV>
          <wp:extent cx="1799590" cy="693420"/>
          <wp:effectExtent l="0" t="0" r="0" b="0"/>
          <wp:wrapThrough wrapText="bothSides">
            <wp:wrapPolygon edited="0">
              <wp:start x="0" y="0"/>
              <wp:lineTo x="0" y="20769"/>
              <wp:lineTo x="21265" y="20769"/>
              <wp:lineTo x="21265" y="0"/>
              <wp:lineTo x="0" y="0"/>
            </wp:wrapPolygon>
          </wp:wrapThrough>
          <wp:docPr id="285631568" name="Picture 285631568" descr="C:\Users\User\Downloads\Logo AVo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Logo AVo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517" t="23261" r="6231" b="28671"/>
                  <a:stretch/>
                </pic:blipFill>
                <pic:spPr bwMode="auto">
                  <a:xfrm>
                    <a:off x="0" y="0"/>
                    <a:ext cx="1799590" cy="69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5E87">
      <w:rPr>
        <w:rFonts w:ascii="Times New Roman" w:eastAsia="Teko" w:hAnsi="Times New Roman" w:cs="Times New Roman"/>
        <w:b/>
        <w:color w:val="000000"/>
        <w:sz w:val="24"/>
        <w:szCs w:val="24"/>
      </w:rPr>
      <w:t>Seminar Nasional AVoER 17</w:t>
    </w:r>
  </w:p>
  <w:p w14:paraId="7CF18951" w14:textId="77777777" w:rsidR="00A84361" w:rsidRPr="00CF5E87" w:rsidRDefault="00A84361" w:rsidP="00A84361">
    <w:pPr>
      <w:spacing w:after="0"/>
      <w:textDirection w:val="btLr"/>
      <w:rPr>
        <w:rFonts w:ascii="Times New Roman" w:hAnsi="Times New Roman" w:cs="Times New Roman"/>
        <w:sz w:val="24"/>
        <w:szCs w:val="24"/>
      </w:rPr>
    </w:pPr>
    <w:r w:rsidRPr="00CF5E87">
      <w:rPr>
        <w:rFonts w:ascii="Times New Roman" w:eastAsia="Teko" w:hAnsi="Times New Roman" w:cs="Times New Roman"/>
        <w:b/>
        <w:color w:val="000000"/>
        <w:sz w:val="24"/>
        <w:szCs w:val="24"/>
      </w:rPr>
      <w:t>Palembang, 5 – 6 November 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2EE2C" w14:textId="5C43E66C" w:rsidR="00261FCA" w:rsidRPr="00011083" w:rsidRDefault="00123443" w:rsidP="00225851">
    <w:pPr>
      <w:tabs>
        <w:tab w:val="center" w:pos="4252"/>
        <w:tab w:val="right" w:pos="8504"/>
      </w:tabs>
      <w:spacing w:before="80"/>
      <w:rPr>
        <w:rFonts w:ascii="Times New Roman" w:eastAsia="Times New Roman" w:hAnsi="Times New Roman"/>
        <w:iCs/>
        <w:sz w:val="18"/>
        <w:szCs w:val="18"/>
        <w:lang w:val="en-US"/>
      </w:rPr>
    </w:pPr>
    <w:r>
      <w:rPr>
        <w:rFonts w:ascii="Times New Roman" w:eastAsia="Times New Roman" w:hAnsi="Times New Roman"/>
        <w:i/>
        <w:sz w:val="18"/>
        <w:szCs w:val="18"/>
      </w:rPr>
      <w:t>Santoso, B.</w:t>
    </w:r>
    <w:r w:rsidR="00261FCA" w:rsidRPr="00DD1D21">
      <w:rPr>
        <w:rFonts w:ascii="Times New Roman" w:eastAsia="Times New Roman" w:hAnsi="Times New Roman"/>
        <w:i/>
        <w:sz w:val="18"/>
        <w:szCs w:val="18"/>
      </w:rPr>
      <w:t xml:space="preserve">, </w:t>
    </w:r>
    <w:r w:rsidR="00261FCA">
      <w:rPr>
        <w:rFonts w:ascii="Times New Roman" w:eastAsia="Times New Roman" w:hAnsi="Times New Roman"/>
        <w:i/>
        <w:sz w:val="18"/>
        <w:szCs w:val="18"/>
      </w:rPr>
      <w:t>et al.</w:t>
    </w:r>
    <w:r w:rsidR="00011083">
      <w:rPr>
        <w:rFonts w:ascii="Times New Roman" w:eastAsia="Times New Roman" w:hAnsi="Times New Roman"/>
        <w:i/>
        <w:sz w:val="18"/>
        <w:szCs w:val="18"/>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3776" w14:textId="382C00DB" w:rsidR="00AA49F6" w:rsidRPr="00AA49F6" w:rsidRDefault="00AA49F6" w:rsidP="00AA49F6">
    <w:pPr>
      <w:pStyle w:val="Header"/>
      <w:jc w:val="center"/>
      <w:rPr>
        <w:rFonts w:ascii="Times New Roman" w:hAnsi="Times New Roman" w:cs="Times New Roman"/>
        <w:b/>
        <w:sz w:val="18"/>
        <w:szCs w:val="18"/>
        <w:lang w:val="id"/>
      </w:rPr>
    </w:pPr>
    <w:r w:rsidRPr="00AA49F6">
      <w:rPr>
        <w:rFonts w:ascii="Times New Roman" w:hAnsi="Times New Roman" w:cs="Times New Roman"/>
        <w:b/>
        <w:sz w:val="18"/>
        <w:szCs w:val="18"/>
        <w:lang w:val="en"/>
      </w:rPr>
      <w:t xml:space="preserve">Konversi Minyak Sawit, Minyak Jagung dan Minyak Biji Bunga Matahari sebagai Alternatif Plasticizer </w:t>
    </w:r>
  </w:p>
  <w:p w14:paraId="61989237" w14:textId="0F1D219E" w:rsidR="00261FCA" w:rsidRPr="00103E99" w:rsidRDefault="00261FCA" w:rsidP="00261FCA">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D1FB8"/>
    <w:multiLevelType w:val="hybridMultilevel"/>
    <w:tmpl w:val="A9A802AE"/>
    <w:lvl w:ilvl="0" w:tplc="351020C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270D28"/>
    <w:multiLevelType w:val="multilevel"/>
    <w:tmpl w:val="E1F6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46EC7"/>
    <w:multiLevelType w:val="multilevel"/>
    <w:tmpl w:val="12E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7621CD"/>
    <w:multiLevelType w:val="multilevel"/>
    <w:tmpl w:val="D5ACB2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345ED4"/>
    <w:multiLevelType w:val="multilevel"/>
    <w:tmpl w:val="12E8BF68"/>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6" w15:restartNumberingAfterBreak="0">
    <w:nsid w:val="115E07A2"/>
    <w:multiLevelType w:val="hybridMultilevel"/>
    <w:tmpl w:val="EB42E390"/>
    <w:lvl w:ilvl="0" w:tplc="89B8C160">
      <w:start w:val="4"/>
      <w:numFmt w:val="decimal"/>
      <w:lvlText w:val="%1"/>
      <w:lvlJc w:val="left"/>
      <w:pPr>
        <w:tabs>
          <w:tab w:val="num" w:pos="360"/>
        </w:tabs>
        <w:ind w:left="360" w:hanging="360"/>
      </w:pPr>
      <w:rPr>
        <w:rFonts w:hint="default"/>
      </w:rPr>
    </w:lvl>
    <w:lvl w:ilvl="1" w:tplc="F8ACA536">
      <w:numFmt w:val="none"/>
      <w:lvlText w:val=""/>
      <w:lvlJc w:val="left"/>
      <w:pPr>
        <w:tabs>
          <w:tab w:val="num" w:pos="360"/>
        </w:tabs>
      </w:pPr>
    </w:lvl>
    <w:lvl w:ilvl="2" w:tplc="97E47412">
      <w:numFmt w:val="none"/>
      <w:lvlText w:val=""/>
      <w:lvlJc w:val="left"/>
      <w:pPr>
        <w:tabs>
          <w:tab w:val="num" w:pos="360"/>
        </w:tabs>
      </w:pPr>
    </w:lvl>
    <w:lvl w:ilvl="3" w:tplc="60365C2C">
      <w:numFmt w:val="none"/>
      <w:lvlText w:val=""/>
      <w:lvlJc w:val="left"/>
      <w:pPr>
        <w:tabs>
          <w:tab w:val="num" w:pos="360"/>
        </w:tabs>
      </w:pPr>
    </w:lvl>
    <w:lvl w:ilvl="4" w:tplc="67CEA1C8">
      <w:numFmt w:val="none"/>
      <w:lvlText w:val=""/>
      <w:lvlJc w:val="left"/>
      <w:pPr>
        <w:tabs>
          <w:tab w:val="num" w:pos="360"/>
        </w:tabs>
      </w:pPr>
    </w:lvl>
    <w:lvl w:ilvl="5" w:tplc="FE5EE7FE">
      <w:numFmt w:val="none"/>
      <w:lvlText w:val=""/>
      <w:lvlJc w:val="left"/>
      <w:pPr>
        <w:tabs>
          <w:tab w:val="num" w:pos="360"/>
        </w:tabs>
      </w:pPr>
    </w:lvl>
    <w:lvl w:ilvl="6" w:tplc="A52C257E">
      <w:numFmt w:val="none"/>
      <w:lvlText w:val=""/>
      <w:lvlJc w:val="left"/>
      <w:pPr>
        <w:tabs>
          <w:tab w:val="num" w:pos="360"/>
        </w:tabs>
      </w:pPr>
    </w:lvl>
    <w:lvl w:ilvl="7" w:tplc="B76E6436">
      <w:numFmt w:val="none"/>
      <w:lvlText w:val=""/>
      <w:lvlJc w:val="left"/>
      <w:pPr>
        <w:tabs>
          <w:tab w:val="num" w:pos="360"/>
        </w:tabs>
      </w:pPr>
    </w:lvl>
    <w:lvl w:ilvl="8" w:tplc="04C44944">
      <w:numFmt w:val="none"/>
      <w:lvlText w:val=""/>
      <w:lvlJc w:val="left"/>
      <w:pPr>
        <w:tabs>
          <w:tab w:val="num" w:pos="360"/>
        </w:tabs>
      </w:pPr>
    </w:lvl>
  </w:abstractNum>
  <w:abstractNum w:abstractNumId="7" w15:restartNumberingAfterBreak="0">
    <w:nsid w:val="135902F4"/>
    <w:multiLevelType w:val="multilevel"/>
    <w:tmpl w:val="F99C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CF1787"/>
    <w:multiLevelType w:val="hybridMultilevel"/>
    <w:tmpl w:val="7ED8BEEC"/>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28B200DA"/>
    <w:multiLevelType w:val="multilevel"/>
    <w:tmpl w:val="C0CE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989F9F"/>
    <w:multiLevelType w:val="multilevel"/>
    <w:tmpl w:val="29989F9F"/>
    <w:lvl w:ilvl="0">
      <w:start w:val="3"/>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2CC541FD"/>
    <w:multiLevelType w:val="hybridMultilevel"/>
    <w:tmpl w:val="A492F2E8"/>
    <w:lvl w:ilvl="0" w:tplc="43E65B3C">
      <w:start w:val="1"/>
      <w:numFmt w:val="decimal"/>
      <w:pStyle w:val="AvoerListing"/>
      <w:lvlText w:val="(%1)"/>
      <w:lvlJc w:val="left"/>
      <w:pPr>
        <w:ind w:left="644"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15:restartNumberingAfterBreak="0">
    <w:nsid w:val="3A8827A9"/>
    <w:multiLevelType w:val="multilevel"/>
    <w:tmpl w:val="E93AF3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E5E6911"/>
    <w:multiLevelType w:val="hybridMultilevel"/>
    <w:tmpl w:val="B9269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B62AD"/>
    <w:multiLevelType w:val="multilevel"/>
    <w:tmpl w:val="7FA68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7674E9"/>
    <w:multiLevelType w:val="multilevel"/>
    <w:tmpl w:val="46465D1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5BBF75CF"/>
    <w:multiLevelType w:val="hybridMultilevel"/>
    <w:tmpl w:val="DF7AC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27F74B5"/>
    <w:multiLevelType w:val="hybridMultilevel"/>
    <w:tmpl w:val="0E96D77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2A0620A"/>
    <w:multiLevelType w:val="multilevel"/>
    <w:tmpl w:val="E5CE9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536D6C"/>
    <w:multiLevelType w:val="multilevel"/>
    <w:tmpl w:val="137A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3C4C77"/>
    <w:multiLevelType w:val="multilevel"/>
    <w:tmpl w:val="47CC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4"/>
  </w:num>
  <w:num w:numId="4">
    <w:abstractNumId w:val="11"/>
  </w:num>
  <w:num w:numId="5">
    <w:abstractNumId w:val="7"/>
  </w:num>
  <w:num w:numId="6">
    <w:abstractNumId w:val="9"/>
  </w:num>
  <w:num w:numId="7">
    <w:abstractNumId w:val="1"/>
  </w:num>
  <w:num w:numId="8">
    <w:abstractNumId w:val="19"/>
  </w:num>
  <w:num w:numId="9">
    <w:abstractNumId w:val="14"/>
  </w:num>
  <w:num w:numId="10">
    <w:abstractNumId w:val="2"/>
  </w:num>
  <w:num w:numId="11">
    <w:abstractNumId w:val="20"/>
  </w:num>
  <w:num w:numId="12">
    <w:abstractNumId w:val="3"/>
  </w:num>
  <w:num w:numId="13">
    <w:abstractNumId w:val="18"/>
  </w:num>
  <w:num w:numId="14">
    <w:abstractNumId w:val="12"/>
  </w:num>
  <w:num w:numId="15">
    <w:abstractNumId w:val="8"/>
  </w:num>
  <w:num w:numId="16">
    <w:abstractNumId w:val="5"/>
  </w:num>
  <w:num w:numId="17">
    <w:abstractNumId w:val="17"/>
  </w:num>
  <w:num w:numId="18">
    <w:abstractNumId w:val="10"/>
  </w:num>
  <w:num w:numId="19">
    <w:abstractNumId w:val="6"/>
  </w:num>
  <w:num w:numId="20">
    <w:abstractNumId w:val="0"/>
    <w:lvlOverride w:ilvl="0">
      <w:lvl w:ilvl="0">
        <w:start w:val="1"/>
        <w:numFmt w:val="bullet"/>
        <w:lvlText w:val=""/>
        <w:legacy w:legacy="1" w:legacySpace="0" w:legacyIndent="160"/>
        <w:lvlJc w:val="left"/>
        <w:pPr>
          <w:ind w:left="160" w:hanging="160"/>
        </w:pPr>
        <w:rPr>
          <w:rFonts w:ascii="Symbol" w:hAnsi="Symbol" w:hint="default"/>
        </w:rPr>
      </w:lvl>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E87"/>
    <w:rsid w:val="00001D2B"/>
    <w:rsid w:val="00006325"/>
    <w:rsid w:val="00011083"/>
    <w:rsid w:val="0002029C"/>
    <w:rsid w:val="00024208"/>
    <w:rsid w:val="000467CD"/>
    <w:rsid w:val="0005131A"/>
    <w:rsid w:val="00062586"/>
    <w:rsid w:val="000630AC"/>
    <w:rsid w:val="00075B23"/>
    <w:rsid w:val="00077753"/>
    <w:rsid w:val="000779A6"/>
    <w:rsid w:val="000955EA"/>
    <w:rsid w:val="000A00CA"/>
    <w:rsid w:val="000A37E9"/>
    <w:rsid w:val="000B1930"/>
    <w:rsid w:val="000B4EEF"/>
    <w:rsid w:val="000B5CF6"/>
    <w:rsid w:val="000B5D6D"/>
    <w:rsid w:val="000C1DD8"/>
    <w:rsid w:val="000C5480"/>
    <w:rsid w:val="000D3833"/>
    <w:rsid w:val="000E6826"/>
    <w:rsid w:val="000F28ED"/>
    <w:rsid w:val="000F6A35"/>
    <w:rsid w:val="00103E99"/>
    <w:rsid w:val="00123443"/>
    <w:rsid w:val="001237BB"/>
    <w:rsid w:val="001241AA"/>
    <w:rsid w:val="001267B7"/>
    <w:rsid w:val="001356F1"/>
    <w:rsid w:val="00137344"/>
    <w:rsid w:val="00142705"/>
    <w:rsid w:val="001521E5"/>
    <w:rsid w:val="00181463"/>
    <w:rsid w:val="00190370"/>
    <w:rsid w:val="00193D0C"/>
    <w:rsid w:val="001A441D"/>
    <w:rsid w:val="001B1703"/>
    <w:rsid w:val="001B6E15"/>
    <w:rsid w:val="001D2364"/>
    <w:rsid w:val="001D5F51"/>
    <w:rsid w:val="001E3294"/>
    <w:rsid w:val="001E5831"/>
    <w:rsid w:val="001E622A"/>
    <w:rsid w:val="001F3C38"/>
    <w:rsid w:val="001F496F"/>
    <w:rsid w:val="001F6E3B"/>
    <w:rsid w:val="002007BF"/>
    <w:rsid w:val="00200B6C"/>
    <w:rsid w:val="00204371"/>
    <w:rsid w:val="0020538B"/>
    <w:rsid w:val="00206351"/>
    <w:rsid w:val="002072BF"/>
    <w:rsid w:val="00210589"/>
    <w:rsid w:val="00211ADD"/>
    <w:rsid w:val="00214094"/>
    <w:rsid w:val="0021663D"/>
    <w:rsid w:val="00217EC6"/>
    <w:rsid w:val="00220969"/>
    <w:rsid w:val="00222C04"/>
    <w:rsid w:val="00225851"/>
    <w:rsid w:val="0022703F"/>
    <w:rsid w:val="002301FF"/>
    <w:rsid w:val="002308ED"/>
    <w:rsid w:val="002363A3"/>
    <w:rsid w:val="002374BB"/>
    <w:rsid w:val="00240BDD"/>
    <w:rsid w:val="00247AFC"/>
    <w:rsid w:val="002512D9"/>
    <w:rsid w:val="00252287"/>
    <w:rsid w:val="0025249A"/>
    <w:rsid w:val="0026137E"/>
    <w:rsid w:val="00261FCA"/>
    <w:rsid w:val="002633F3"/>
    <w:rsid w:val="00265A77"/>
    <w:rsid w:val="00267AF8"/>
    <w:rsid w:val="00277325"/>
    <w:rsid w:val="00286004"/>
    <w:rsid w:val="002872C6"/>
    <w:rsid w:val="002978DE"/>
    <w:rsid w:val="002A1EDF"/>
    <w:rsid w:val="002A3E84"/>
    <w:rsid w:val="002B0C72"/>
    <w:rsid w:val="002B0F29"/>
    <w:rsid w:val="002B28EA"/>
    <w:rsid w:val="002D40E4"/>
    <w:rsid w:val="002D61E3"/>
    <w:rsid w:val="002D7EAB"/>
    <w:rsid w:val="002E0286"/>
    <w:rsid w:val="002E4F1E"/>
    <w:rsid w:val="002F07AB"/>
    <w:rsid w:val="002F0AB0"/>
    <w:rsid w:val="002F1A69"/>
    <w:rsid w:val="002F7A52"/>
    <w:rsid w:val="003020AA"/>
    <w:rsid w:val="0030608C"/>
    <w:rsid w:val="00306EEF"/>
    <w:rsid w:val="00313A59"/>
    <w:rsid w:val="0032051F"/>
    <w:rsid w:val="00320618"/>
    <w:rsid w:val="00324936"/>
    <w:rsid w:val="003339C8"/>
    <w:rsid w:val="00334A9B"/>
    <w:rsid w:val="00350ACD"/>
    <w:rsid w:val="00361301"/>
    <w:rsid w:val="0036775D"/>
    <w:rsid w:val="003738C7"/>
    <w:rsid w:val="00374B4A"/>
    <w:rsid w:val="003838DD"/>
    <w:rsid w:val="003844C7"/>
    <w:rsid w:val="0038473D"/>
    <w:rsid w:val="00390671"/>
    <w:rsid w:val="00392DB9"/>
    <w:rsid w:val="003A0D8B"/>
    <w:rsid w:val="003A1F6F"/>
    <w:rsid w:val="003A35C8"/>
    <w:rsid w:val="003A4A1F"/>
    <w:rsid w:val="003B6AA9"/>
    <w:rsid w:val="003C213D"/>
    <w:rsid w:val="003D3C4D"/>
    <w:rsid w:val="003E3472"/>
    <w:rsid w:val="003E63A1"/>
    <w:rsid w:val="00405F10"/>
    <w:rsid w:val="00413674"/>
    <w:rsid w:val="004146D0"/>
    <w:rsid w:val="00415A80"/>
    <w:rsid w:val="004221E2"/>
    <w:rsid w:val="00434EFC"/>
    <w:rsid w:val="004422DC"/>
    <w:rsid w:val="00443455"/>
    <w:rsid w:val="0044412D"/>
    <w:rsid w:val="004446F2"/>
    <w:rsid w:val="00457630"/>
    <w:rsid w:val="00460D4B"/>
    <w:rsid w:val="00463109"/>
    <w:rsid w:val="00463266"/>
    <w:rsid w:val="00464C35"/>
    <w:rsid w:val="004662E8"/>
    <w:rsid w:val="004672E0"/>
    <w:rsid w:val="00484C19"/>
    <w:rsid w:val="004860FA"/>
    <w:rsid w:val="00493BE8"/>
    <w:rsid w:val="00496F01"/>
    <w:rsid w:val="004A019A"/>
    <w:rsid w:val="004A0DD8"/>
    <w:rsid w:val="004A1E40"/>
    <w:rsid w:val="004A4CE0"/>
    <w:rsid w:val="004B114F"/>
    <w:rsid w:val="004B310F"/>
    <w:rsid w:val="004B7040"/>
    <w:rsid w:val="004C392F"/>
    <w:rsid w:val="004D4570"/>
    <w:rsid w:val="004D7B55"/>
    <w:rsid w:val="004E0E24"/>
    <w:rsid w:val="004E151B"/>
    <w:rsid w:val="004E5B31"/>
    <w:rsid w:val="004F36E7"/>
    <w:rsid w:val="004F61C6"/>
    <w:rsid w:val="004F6BEA"/>
    <w:rsid w:val="0050133C"/>
    <w:rsid w:val="00503BD3"/>
    <w:rsid w:val="00510FD2"/>
    <w:rsid w:val="005176E5"/>
    <w:rsid w:val="005333B8"/>
    <w:rsid w:val="00533C20"/>
    <w:rsid w:val="005348D4"/>
    <w:rsid w:val="00540B3D"/>
    <w:rsid w:val="00544A1B"/>
    <w:rsid w:val="005475B6"/>
    <w:rsid w:val="0055368C"/>
    <w:rsid w:val="00570E6C"/>
    <w:rsid w:val="00572C5B"/>
    <w:rsid w:val="00574F57"/>
    <w:rsid w:val="0057694F"/>
    <w:rsid w:val="0057725D"/>
    <w:rsid w:val="00577814"/>
    <w:rsid w:val="0058536C"/>
    <w:rsid w:val="005944E3"/>
    <w:rsid w:val="005A0C9B"/>
    <w:rsid w:val="005A25BB"/>
    <w:rsid w:val="005B7783"/>
    <w:rsid w:val="005C5F5A"/>
    <w:rsid w:val="005C78ED"/>
    <w:rsid w:val="005C7A1A"/>
    <w:rsid w:val="005E56B4"/>
    <w:rsid w:val="005E5C0E"/>
    <w:rsid w:val="005F07BB"/>
    <w:rsid w:val="005F4993"/>
    <w:rsid w:val="00601C25"/>
    <w:rsid w:val="00634758"/>
    <w:rsid w:val="0064325D"/>
    <w:rsid w:val="0065217E"/>
    <w:rsid w:val="00655D82"/>
    <w:rsid w:val="006648EB"/>
    <w:rsid w:val="0066619D"/>
    <w:rsid w:val="006671FA"/>
    <w:rsid w:val="006672E6"/>
    <w:rsid w:val="006675CE"/>
    <w:rsid w:val="006713AC"/>
    <w:rsid w:val="006722F1"/>
    <w:rsid w:val="00683086"/>
    <w:rsid w:val="00683F9D"/>
    <w:rsid w:val="00696714"/>
    <w:rsid w:val="006B0E86"/>
    <w:rsid w:val="006B2D80"/>
    <w:rsid w:val="006B7B05"/>
    <w:rsid w:val="006C3690"/>
    <w:rsid w:val="006C52C4"/>
    <w:rsid w:val="006D0057"/>
    <w:rsid w:val="006D6962"/>
    <w:rsid w:val="006E0F9B"/>
    <w:rsid w:val="006E1CEB"/>
    <w:rsid w:val="006F4F3A"/>
    <w:rsid w:val="00704F94"/>
    <w:rsid w:val="0070527A"/>
    <w:rsid w:val="00710775"/>
    <w:rsid w:val="00710D78"/>
    <w:rsid w:val="00713031"/>
    <w:rsid w:val="00713801"/>
    <w:rsid w:val="0071493B"/>
    <w:rsid w:val="00727D5D"/>
    <w:rsid w:val="00730513"/>
    <w:rsid w:val="00733933"/>
    <w:rsid w:val="00733C5B"/>
    <w:rsid w:val="00745D59"/>
    <w:rsid w:val="00745D90"/>
    <w:rsid w:val="00750DF5"/>
    <w:rsid w:val="00750F87"/>
    <w:rsid w:val="00760A77"/>
    <w:rsid w:val="00763C94"/>
    <w:rsid w:val="0076644F"/>
    <w:rsid w:val="00766776"/>
    <w:rsid w:val="00773CBA"/>
    <w:rsid w:val="00775161"/>
    <w:rsid w:val="00776009"/>
    <w:rsid w:val="0078030B"/>
    <w:rsid w:val="00780B21"/>
    <w:rsid w:val="00781BFF"/>
    <w:rsid w:val="00782109"/>
    <w:rsid w:val="00784299"/>
    <w:rsid w:val="007844FE"/>
    <w:rsid w:val="00784631"/>
    <w:rsid w:val="00787088"/>
    <w:rsid w:val="00794F6A"/>
    <w:rsid w:val="007A08E8"/>
    <w:rsid w:val="007A57FD"/>
    <w:rsid w:val="007A64CC"/>
    <w:rsid w:val="007D170A"/>
    <w:rsid w:val="007E38FD"/>
    <w:rsid w:val="007F013F"/>
    <w:rsid w:val="007F45E4"/>
    <w:rsid w:val="007F76EA"/>
    <w:rsid w:val="007F7D0C"/>
    <w:rsid w:val="00810CA8"/>
    <w:rsid w:val="008158D7"/>
    <w:rsid w:val="008170DD"/>
    <w:rsid w:val="0082729A"/>
    <w:rsid w:val="00830750"/>
    <w:rsid w:val="00832960"/>
    <w:rsid w:val="008338A1"/>
    <w:rsid w:val="00835777"/>
    <w:rsid w:val="00845660"/>
    <w:rsid w:val="0085777A"/>
    <w:rsid w:val="008607F2"/>
    <w:rsid w:val="008669AA"/>
    <w:rsid w:val="00872580"/>
    <w:rsid w:val="00874482"/>
    <w:rsid w:val="00877024"/>
    <w:rsid w:val="008848EE"/>
    <w:rsid w:val="00885EA3"/>
    <w:rsid w:val="00887FE1"/>
    <w:rsid w:val="00895142"/>
    <w:rsid w:val="008A6485"/>
    <w:rsid w:val="008A6F9F"/>
    <w:rsid w:val="008A7A63"/>
    <w:rsid w:val="008B32D4"/>
    <w:rsid w:val="008C19F5"/>
    <w:rsid w:val="008C2BFA"/>
    <w:rsid w:val="008C5525"/>
    <w:rsid w:val="008C6382"/>
    <w:rsid w:val="008D172A"/>
    <w:rsid w:val="008D4553"/>
    <w:rsid w:val="008D67B5"/>
    <w:rsid w:val="008D6800"/>
    <w:rsid w:val="008D6861"/>
    <w:rsid w:val="008E58A8"/>
    <w:rsid w:val="008E7BB6"/>
    <w:rsid w:val="008E7EEE"/>
    <w:rsid w:val="0090171B"/>
    <w:rsid w:val="00901B55"/>
    <w:rsid w:val="00902FA9"/>
    <w:rsid w:val="00903C2E"/>
    <w:rsid w:val="00910AEF"/>
    <w:rsid w:val="009134A1"/>
    <w:rsid w:val="00924BA2"/>
    <w:rsid w:val="00925069"/>
    <w:rsid w:val="00930043"/>
    <w:rsid w:val="0093233F"/>
    <w:rsid w:val="009441BC"/>
    <w:rsid w:val="00952930"/>
    <w:rsid w:val="00960D23"/>
    <w:rsid w:val="00963D57"/>
    <w:rsid w:val="00973CE4"/>
    <w:rsid w:val="009759ED"/>
    <w:rsid w:val="009761CF"/>
    <w:rsid w:val="009827A9"/>
    <w:rsid w:val="00997458"/>
    <w:rsid w:val="009A527C"/>
    <w:rsid w:val="009C2EE0"/>
    <w:rsid w:val="009C3376"/>
    <w:rsid w:val="009C4E3C"/>
    <w:rsid w:val="009E1684"/>
    <w:rsid w:val="009E7272"/>
    <w:rsid w:val="009F3033"/>
    <w:rsid w:val="009F38DE"/>
    <w:rsid w:val="009F7913"/>
    <w:rsid w:val="00A000B7"/>
    <w:rsid w:val="00A004C2"/>
    <w:rsid w:val="00A0088B"/>
    <w:rsid w:val="00A04112"/>
    <w:rsid w:val="00A06B0D"/>
    <w:rsid w:val="00A06D4D"/>
    <w:rsid w:val="00A120E1"/>
    <w:rsid w:val="00A134BD"/>
    <w:rsid w:val="00A13D43"/>
    <w:rsid w:val="00A16EFF"/>
    <w:rsid w:val="00A232D9"/>
    <w:rsid w:val="00A263A9"/>
    <w:rsid w:val="00A33C33"/>
    <w:rsid w:val="00A447E4"/>
    <w:rsid w:val="00A44D5F"/>
    <w:rsid w:val="00A46C1A"/>
    <w:rsid w:val="00A534A3"/>
    <w:rsid w:val="00A53981"/>
    <w:rsid w:val="00A554FA"/>
    <w:rsid w:val="00A55C2B"/>
    <w:rsid w:val="00A628FA"/>
    <w:rsid w:val="00A62E28"/>
    <w:rsid w:val="00A74B72"/>
    <w:rsid w:val="00A8218D"/>
    <w:rsid w:val="00A84361"/>
    <w:rsid w:val="00A848EF"/>
    <w:rsid w:val="00A86750"/>
    <w:rsid w:val="00A94AF1"/>
    <w:rsid w:val="00A94CE2"/>
    <w:rsid w:val="00A9782D"/>
    <w:rsid w:val="00AA49F6"/>
    <w:rsid w:val="00AB244A"/>
    <w:rsid w:val="00AB7E36"/>
    <w:rsid w:val="00AC0246"/>
    <w:rsid w:val="00AC2A28"/>
    <w:rsid w:val="00AC79FE"/>
    <w:rsid w:val="00AD798E"/>
    <w:rsid w:val="00AE42AB"/>
    <w:rsid w:val="00AF0E97"/>
    <w:rsid w:val="00AF1CFE"/>
    <w:rsid w:val="00AF35EF"/>
    <w:rsid w:val="00AF39D3"/>
    <w:rsid w:val="00AF548E"/>
    <w:rsid w:val="00B00409"/>
    <w:rsid w:val="00B16C01"/>
    <w:rsid w:val="00B22A97"/>
    <w:rsid w:val="00B24570"/>
    <w:rsid w:val="00B24EFA"/>
    <w:rsid w:val="00B32F83"/>
    <w:rsid w:val="00B341CE"/>
    <w:rsid w:val="00B34AFB"/>
    <w:rsid w:val="00B42E80"/>
    <w:rsid w:val="00B454B5"/>
    <w:rsid w:val="00B45EFF"/>
    <w:rsid w:val="00B52D7A"/>
    <w:rsid w:val="00B56B1A"/>
    <w:rsid w:val="00B609A7"/>
    <w:rsid w:val="00B618A8"/>
    <w:rsid w:val="00B73697"/>
    <w:rsid w:val="00B741D7"/>
    <w:rsid w:val="00B76031"/>
    <w:rsid w:val="00B761A7"/>
    <w:rsid w:val="00B77448"/>
    <w:rsid w:val="00B86F78"/>
    <w:rsid w:val="00B95B51"/>
    <w:rsid w:val="00B96359"/>
    <w:rsid w:val="00BA25F2"/>
    <w:rsid w:val="00BA26B0"/>
    <w:rsid w:val="00BA3E5A"/>
    <w:rsid w:val="00BA63B4"/>
    <w:rsid w:val="00BA6BF6"/>
    <w:rsid w:val="00BB5201"/>
    <w:rsid w:val="00BB706A"/>
    <w:rsid w:val="00BC0BBA"/>
    <w:rsid w:val="00BC1B1E"/>
    <w:rsid w:val="00BC5CC6"/>
    <w:rsid w:val="00BC65C1"/>
    <w:rsid w:val="00BD088C"/>
    <w:rsid w:val="00BD22CA"/>
    <w:rsid w:val="00BD32D2"/>
    <w:rsid w:val="00BD63A5"/>
    <w:rsid w:val="00BE04E9"/>
    <w:rsid w:val="00BE3CFB"/>
    <w:rsid w:val="00BE745D"/>
    <w:rsid w:val="00C13601"/>
    <w:rsid w:val="00C17884"/>
    <w:rsid w:val="00C24152"/>
    <w:rsid w:val="00C25F08"/>
    <w:rsid w:val="00C348FB"/>
    <w:rsid w:val="00C445C0"/>
    <w:rsid w:val="00C47A39"/>
    <w:rsid w:val="00C54C19"/>
    <w:rsid w:val="00C63F1A"/>
    <w:rsid w:val="00C76CB5"/>
    <w:rsid w:val="00C82FFA"/>
    <w:rsid w:val="00C842E1"/>
    <w:rsid w:val="00C921DA"/>
    <w:rsid w:val="00C9311B"/>
    <w:rsid w:val="00C93986"/>
    <w:rsid w:val="00C94799"/>
    <w:rsid w:val="00C954BC"/>
    <w:rsid w:val="00CA61C0"/>
    <w:rsid w:val="00CB0FA9"/>
    <w:rsid w:val="00CB3223"/>
    <w:rsid w:val="00CB39DC"/>
    <w:rsid w:val="00CC131D"/>
    <w:rsid w:val="00CC1541"/>
    <w:rsid w:val="00CC295D"/>
    <w:rsid w:val="00CC3A1E"/>
    <w:rsid w:val="00CC4795"/>
    <w:rsid w:val="00CC616F"/>
    <w:rsid w:val="00CD3103"/>
    <w:rsid w:val="00CE2957"/>
    <w:rsid w:val="00CF0B5A"/>
    <w:rsid w:val="00CF1CD1"/>
    <w:rsid w:val="00CF22B6"/>
    <w:rsid w:val="00CF4E8A"/>
    <w:rsid w:val="00CF5460"/>
    <w:rsid w:val="00CF5E87"/>
    <w:rsid w:val="00D007EF"/>
    <w:rsid w:val="00D00D4C"/>
    <w:rsid w:val="00D12050"/>
    <w:rsid w:val="00D135A1"/>
    <w:rsid w:val="00D23CEF"/>
    <w:rsid w:val="00D26782"/>
    <w:rsid w:val="00D26AF3"/>
    <w:rsid w:val="00D31867"/>
    <w:rsid w:val="00D32DFE"/>
    <w:rsid w:val="00D33FAE"/>
    <w:rsid w:val="00D343DF"/>
    <w:rsid w:val="00D41D4C"/>
    <w:rsid w:val="00D542CC"/>
    <w:rsid w:val="00D71C7A"/>
    <w:rsid w:val="00D757A0"/>
    <w:rsid w:val="00D82FA4"/>
    <w:rsid w:val="00D84211"/>
    <w:rsid w:val="00D86E89"/>
    <w:rsid w:val="00D91209"/>
    <w:rsid w:val="00DA01D1"/>
    <w:rsid w:val="00DA1FB7"/>
    <w:rsid w:val="00DA5F9C"/>
    <w:rsid w:val="00DA7CA5"/>
    <w:rsid w:val="00DB1320"/>
    <w:rsid w:val="00DB4676"/>
    <w:rsid w:val="00DB4A26"/>
    <w:rsid w:val="00DB558A"/>
    <w:rsid w:val="00DC01AE"/>
    <w:rsid w:val="00DC391C"/>
    <w:rsid w:val="00DC7FA4"/>
    <w:rsid w:val="00DD1D21"/>
    <w:rsid w:val="00DE0631"/>
    <w:rsid w:val="00DF69A1"/>
    <w:rsid w:val="00DF7011"/>
    <w:rsid w:val="00DF71F7"/>
    <w:rsid w:val="00E013DD"/>
    <w:rsid w:val="00E0448A"/>
    <w:rsid w:val="00E10815"/>
    <w:rsid w:val="00E1311F"/>
    <w:rsid w:val="00E158B1"/>
    <w:rsid w:val="00E15FD4"/>
    <w:rsid w:val="00E1702F"/>
    <w:rsid w:val="00E17FD9"/>
    <w:rsid w:val="00E20933"/>
    <w:rsid w:val="00E27942"/>
    <w:rsid w:val="00E35657"/>
    <w:rsid w:val="00E42679"/>
    <w:rsid w:val="00E434EE"/>
    <w:rsid w:val="00E45C55"/>
    <w:rsid w:val="00E66F80"/>
    <w:rsid w:val="00E6788F"/>
    <w:rsid w:val="00E748B6"/>
    <w:rsid w:val="00E7784E"/>
    <w:rsid w:val="00E8111D"/>
    <w:rsid w:val="00E900C5"/>
    <w:rsid w:val="00E90781"/>
    <w:rsid w:val="00EA34DC"/>
    <w:rsid w:val="00EB1262"/>
    <w:rsid w:val="00EB27BC"/>
    <w:rsid w:val="00EB33ED"/>
    <w:rsid w:val="00EC18F1"/>
    <w:rsid w:val="00ED7204"/>
    <w:rsid w:val="00ED764E"/>
    <w:rsid w:val="00ED77AC"/>
    <w:rsid w:val="00EE12DF"/>
    <w:rsid w:val="00EE2F42"/>
    <w:rsid w:val="00EE77C4"/>
    <w:rsid w:val="00EF07F3"/>
    <w:rsid w:val="00EF1268"/>
    <w:rsid w:val="00EF43CC"/>
    <w:rsid w:val="00EF560D"/>
    <w:rsid w:val="00EF77A8"/>
    <w:rsid w:val="00EF7C65"/>
    <w:rsid w:val="00EF7EF3"/>
    <w:rsid w:val="00F02E2C"/>
    <w:rsid w:val="00F0317F"/>
    <w:rsid w:val="00F04852"/>
    <w:rsid w:val="00F07E63"/>
    <w:rsid w:val="00F1220F"/>
    <w:rsid w:val="00F12D71"/>
    <w:rsid w:val="00F12ED3"/>
    <w:rsid w:val="00F1390A"/>
    <w:rsid w:val="00F247C1"/>
    <w:rsid w:val="00F253B5"/>
    <w:rsid w:val="00F3181B"/>
    <w:rsid w:val="00F411E5"/>
    <w:rsid w:val="00F43CB0"/>
    <w:rsid w:val="00F4537C"/>
    <w:rsid w:val="00F4735F"/>
    <w:rsid w:val="00F569A8"/>
    <w:rsid w:val="00F62C1A"/>
    <w:rsid w:val="00F6305E"/>
    <w:rsid w:val="00F6415B"/>
    <w:rsid w:val="00F674C8"/>
    <w:rsid w:val="00F70EAF"/>
    <w:rsid w:val="00F71C9B"/>
    <w:rsid w:val="00F737EE"/>
    <w:rsid w:val="00F76AA7"/>
    <w:rsid w:val="00F80DF0"/>
    <w:rsid w:val="00F83395"/>
    <w:rsid w:val="00F83991"/>
    <w:rsid w:val="00F84B71"/>
    <w:rsid w:val="00F92DBF"/>
    <w:rsid w:val="00F9374A"/>
    <w:rsid w:val="00F959E0"/>
    <w:rsid w:val="00F96936"/>
    <w:rsid w:val="00F97362"/>
    <w:rsid w:val="00FA16DB"/>
    <w:rsid w:val="00FA3B70"/>
    <w:rsid w:val="00FA3CE0"/>
    <w:rsid w:val="00FA759C"/>
    <w:rsid w:val="00FC34F9"/>
    <w:rsid w:val="00FC3725"/>
    <w:rsid w:val="00FD151A"/>
    <w:rsid w:val="00FD4EAF"/>
    <w:rsid w:val="00FE40BC"/>
    <w:rsid w:val="00FE554D"/>
    <w:rsid w:val="00FE595A"/>
    <w:rsid w:val="00FF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9BF54"/>
  <w15:docId w15:val="{C566295C-99CE-4EDA-A4B8-22174E23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BDD"/>
    <w:rPr>
      <w:lang w:val="id-ID"/>
    </w:rPr>
  </w:style>
  <w:style w:type="paragraph" w:styleId="Heading1">
    <w:name w:val="heading 1"/>
    <w:basedOn w:val="Normal"/>
    <w:next w:val="Normal"/>
    <w:link w:val="Heading1Char"/>
    <w:autoRedefine/>
    <w:uiPriority w:val="9"/>
    <w:qFormat/>
    <w:rsid w:val="00BD088C"/>
    <w:pPr>
      <w:keepNext/>
      <w:keepLines/>
      <w:numPr>
        <w:numId w:val="2"/>
      </w:numPr>
      <w:spacing w:after="120"/>
      <w:ind w:left="426" w:hanging="426"/>
      <w:outlineLvl w:val="0"/>
    </w:pPr>
    <w:rPr>
      <w:rFonts w:ascii="Times New Roman" w:eastAsiaTheme="majorEastAsia" w:hAnsi="Times New Roman" w:cstheme="majorBidi"/>
      <w:b/>
      <w:bCs/>
      <w:color w:val="000000" w:themeColor="text1"/>
      <w:sz w:val="20"/>
      <w:szCs w:val="28"/>
    </w:rPr>
  </w:style>
  <w:style w:type="paragraph" w:styleId="Heading2">
    <w:name w:val="heading 2"/>
    <w:basedOn w:val="Normal"/>
    <w:next w:val="Normal"/>
    <w:link w:val="Heading2Char"/>
    <w:autoRedefine/>
    <w:uiPriority w:val="9"/>
    <w:unhideWhenUsed/>
    <w:qFormat/>
    <w:rsid w:val="00BD088C"/>
    <w:pPr>
      <w:keepNext/>
      <w:keepLines/>
      <w:numPr>
        <w:ilvl w:val="1"/>
        <w:numId w:val="2"/>
      </w:numPr>
      <w:spacing w:after="120"/>
      <w:ind w:left="426" w:hanging="426"/>
      <w:outlineLvl w:val="1"/>
    </w:pPr>
    <w:rPr>
      <w:rFonts w:ascii="Times New Roman" w:eastAsiaTheme="majorEastAsia" w:hAnsi="Times New Roman" w:cstheme="majorBidi"/>
      <w:bCs/>
      <w:color w:val="000000" w:themeColor="text1"/>
      <w:sz w:val="20"/>
      <w:szCs w:val="26"/>
    </w:rPr>
  </w:style>
  <w:style w:type="paragraph" w:styleId="Heading3">
    <w:name w:val="heading 3"/>
    <w:basedOn w:val="Normal"/>
    <w:link w:val="Heading3Char"/>
    <w:autoRedefine/>
    <w:uiPriority w:val="9"/>
    <w:unhideWhenUsed/>
    <w:qFormat/>
    <w:rsid w:val="00006325"/>
    <w:pPr>
      <w:keepNext/>
      <w:keepLines/>
      <w:numPr>
        <w:ilvl w:val="2"/>
        <w:numId w:val="2"/>
      </w:numPr>
      <w:spacing w:after="120"/>
      <w:ind w:left="426" w:hanging="426"/>
      <w:outlineLvl w:val="2"/>
    </w:pPr>
    <w:rPr>
      <w:rFonts w:ascii="Times New Roman" w:eastAsiaTheme="majorEastAsia" w:hAnsi="Times New Roman" w:cstheme="majorBidi"/>
      <w:bCs/>
      <w:sz w:val="20"/>
      <w:lang w:val="en-US"/>
    </w:rPr>
  </w:style>
  <w:style w:type="paragraph" w:styleId="Heading4">
    <w:name w:val="heading 4"/>
    <w:basedOn w:val="Normal"/>
    <w:next w:val="Normal"/>
    <w:link w:val="Heading4Char"/>
    <w:uiPriority w:val="9"/>
    <w:semiHidden/>
    <w:unhideWhenUsed/>
    <w:qFormat/>
    <w:rsid w:val="0041367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1367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1367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367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367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367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E87"/>
  </w:style>
  <w:style w:type="paragraph" w:styleId="Footer">
    <w:name w:val="footer"/>
    <w:basedOn w:val="Normal"/>
    <w:link w:val="FooterChar"/>
    <w:uiPriority w:val="99"/>
    <w:unhideWhenUsed/>
    <w:rsid w:val="00CF5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E87"/>
  </w:style>
  <w:style w:type="character" w:customStyle="1" w:styleId="Heading1Char">
    <w:name w:val="Heading 1 Char"/>
    <w:basedOn w:val="DefaultParagraphFont"/>
    <w:link w:val="Heading1"/>
    <w:uiPriority w:val="9"/>
    <w:rsid w:val="00BD088C"/>
    <w:rPr>
      <w:rFonts w:ascii="Times New Roman" w:eastAsiaTheme="majorEastAsia" w:hAnsi="Times New Roman" w:cstheme="majorBidi"/>
      <w:b/>
      <w:bCs/>
      <w:color w:val="000000" w:themeColor="text1"/>
      <w:sz w:val="20"/>
      <w:szCs w:val="28"/>
      <w:lang w:val="id-ID"/>
    </w:rPr>
  </w:style>
  <w:style w:type="paragraph" w:styleId="Title">
    <w:name w:val="Title"/>
    <w:basedOn w:val="Normal"/>
    <w:next w:val="Normal"/>
    <w:link w:val="TitleChar"/>
    <w:uiPriority w:val="10"/>
    <w:qFormat/>
    <w:rsid w:val="00902F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2FA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02F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02FA9"/>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78030B"/>
    <w:rPr>
      <w:color w:val="0000FF" w:themeColor="hyperlink"/>
      <w:u w:val="single"/>
    </w:rPr>
  </w:style>
  <w:style w:type="paragraph" w:customStyle="1" w:styleId="AvoerJudul">
    <w:name w:val="Avoer Judul"/>
    <w:basedOn w:val="Normal"/>
    <w:autoRedefine/>
    <w:qFormat/>
    <w:rsid w:val="00103E99"/>
    <w:pPr>
      <w:spacing w:after="0"/>
      <w:jc w:val="center"/>
    </w:pPr>
    <w:rPr>
      <w:rFonts w:ascii="Times New Roman" w:hAnsi="Times New Roman" w:cs="Times New Roman"/>
      <w:b/>
      <w:sz w:val="24"/>
      <w:szCs w:val="24"/>
    </w:rPr>
  </w:style>
  <w:style w:type="paragraph" w:customStyle="1" w:styleId="AvoerAuthor">
    <w:name w:val="Avoer Author"/>
    <w:basedOn w:val="Normal"/>
    <w:autoRedefine/>
    <w:qFormat/>
    <w:rsid w:val="0058536C"/>
    <w:pPr>
      <w:spacing w:after="240"/>
      <w:jc w:val="center"/>
    </w:pPr>
    <w:rPr>
      <w:rFonts w:ascii="Times New Roman" w:hAnsi="Times New Roman" w:cs="Times New Roman"/>
      <w:b/>
      <w:sz w:val="20"/>
      <w:szCs w:val="20"/>
    </w:rPr>
  </w:style>
  <w:style w:type="character" w:customStyle="1" w:styleId="Heading2Char">
    <w:name w:val="Heading 2 Char"/>
    <w:basedOn w:val="DefaultParagraphFont"/>
    <w:link w:val="Heading2"/>
    <w:uiPriority w:val="9"/>
    <w:rsid w:val="00BD088C"/>
    <w:rPr>
      <w:rFonts w:ascii="Times New Roman" w:eastAsiaTheme="majorEastAsia" w:hAnsi="Times New Roman" w:cstheme="majorBidi"/>
      <w:bCs/>
      <w:color w:val="000000" w:themeColor="text1"/>
      <w:sz w:val="20"/>
      <w:szCs w:val="26"/>
      <w:lang w:val="id-ID"/>
    </w:rPr>
  </w:style>
  <w:style w:type="character" w:customStyle="1" w:styleId="Heading3Char">
    <w:name w:val="Heading 3 Char"/>
    <w:basedOn w:val="DefaultParagraphFont"/>
    <w:link w:val="Heading3"/>
    <w:uiPriority w:val="9"/>
    <w:rsid w:val="00006325"/>
    <w:rPr>
      <w:rFonts w:ascii="Times New Roman" w:eastAsiaTheme="majorEastAsia" w:hAnsi="Times New Roman" w:cstheme="majorBidi"/>
      <w:bCs/>
      <w:sz w:val="20"/>
    </w:rPr>
  </w:style>
  <w:style w:type="character" w:customStyle="1" w:styleId="Heading4Char">
    <w:name w:val="Heading 4 Char"/>
    <w:basedOn w:val="DefaultParagraphFont"/>
    <w:link w:val="Heading4"/>
    <w:uiPriority w:val="9"/>
    <w:semiHidden/>
    <w:rsid w:val="00413674"/>
    <w:rPr>
      <w:rFonts w:asciiTheme="majorHAnsi" w:eastAsiaTheme="majorEastAsia" w:hAnsiTheme="majorHAnsi" w:cstheme="majorBidi"/>
      <w:b/>
      <w:bCs/>
      <w:i/>
      <w:iCs/>
      <w:color w:val="4F81BD" w:themeColor="accent1"/>
      <w:lang w:val="id-ID"/>
    </w:rPr>
  </w:style>
  <w:style w:type="character" w:customStyle="1" w:styleId="Heading5Char">
    <w:name w:val="Heading 5 Char"/>
    <w:basedOn w:val="DefaultParagraphFont"/>
    <w:link w:val="Heading5"/>
    <w:uiPriority w:val="9"/>
    <w:semiHidden/>
    <w:rsid w:val="00413674"/>
    <w:rPr>
      <w:rFonts w:asciiTheme="majorHAnsi" w:eastAsiaTheme="majorEastAsia" w:hAnsiTheme="majorHAnsi" w:cstheme="majorBidi"/>
      <w:color w:val="243F60" w:themeColor="accent1" w:themeShade="7F"/>
      <w:lang w:val="id-ID"/>
    </w:rPr>
  </w:style>
  <w:style w:type="character" w:customStyle="1" w:styleId="Heading6Char">
    <w:name w:val="Heading 6 Char"/>
    <w:basedOn w:val="DefaultParagraphFont"/>
    <w:link w:val="Heading6"/>
    <w:uiPriority w:val="9"/>
    <w:semiHidden/>
    <w:rsid w:val="00413674"/>
    <w:rPr>
      <w:rFonts w:asciiTheme="majorHAnsi" w:eastAsiaTheme="majorEastAsia" w:hAnsiTheme="majorHAnsi" w:cstheme="majorBidi"/>
      <w:i/>
      <w:iCs/>
      <w:color w:val="243F60" w:themeColor="accent1" w:themeShade="7F"/>
      <w:lang w:val="id-ID"/>
    </w:rPr>
  </w:style>
  <w:style w:type="character" w:customStyle="1" w:styleId="Heading7Char">
    <w:name w:val="Heading 7 Char"/>
    <w:basedOn w:val="DefaultParagraphFont"/>
    <w:link w:val="Heading7"/>
    <w:uiPriority w:val="9"/>
    <w:semiHidden/>
    <w:rsid w:val="00413674"/>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413674"/>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413674"/>
    <w:rPr>
      <w:rFonts w:asciiTheme="majorHAnsi" w:eastAsiaTheme="majorEastAsia" w:hAnsiTheme="majorHAnsi" w:cstheme="majorBidi"/>
      <w:i/>
      <w:iCs/>
      <w:color w:val="404040" w:themeColor="text1" w:themeTint="BF"/>
      <w:sz w:val="20"/>
      <w:szCs w:val="20"/>
      <w:lang w:val="id-ID"/>
    </w:rPr>
  </w:style>
  <w:style w:type="paragraph" w:customStyle="1" w:styleId="AvoerParagraph">
    <w:name w:val="Avoer Paragraph"/>
    <w:basedOn w:val="Normal"/>
    <w:autoRedefine/>
    <w:qFormat/>
    <w:rsid w:val="004F61C6"/>
    <w:pPr>
      <w:spacing w:before="240" w:after="240"/>
      <w:ind w:firstLine="567"/>
      <w:contextualSpacing/>
      <w:jc w:val="both"/>
    </w:pPr>
    <w:rPr>
      <w:rFonts w:ascii="Times New Roman" w:hAnsi="Times New Roman" w:cs="Times New Roman"/>
      <w:sz w:val="20"/>
      <w:szCs w:val="20"/>
    </w:rPr>
  </w:style>
  <w:style w:type="paragraph" w:customStyle="1" w:styleId="AvoerListing">
    <w:name w:val="Avoer Listing"/>
    <w:basedOn w:val="AvoerParagraph"/>
    <w:qFormat/>
    <w:rsid w:val="00443455"/>
    <w:pPr>
      <w:numPr>
        <w:numId w:val="4"/>
      </w:numPr>
      <w:ind w:left="641" w:hanging="357"/>
    </w:pPr>
    <w:rPr>
      <w:lang w:val="en-US"/>
    </w:rPr>
  </w:style>
  <w:style w:type="paragraph" w:styleId="ListParagraph">
    <w:name w:val="List Paragraph"/>
    <w:basedOn w:val="Normal"/>
    <w:uiPriority w:val="34"/>
    <w:qFormat/>
    <w:rsid w:val="004B310F"/>
    <w:pPr>
      <w:ind w:left="720"/>
      <w:contextualSpacing/>
    </w:pPr>
  </w:style>
  <w:style w:type="paragraph" w:styleId="BalloonText">
    <w:name w:val="Balloon Text"/>
    <w:basedOn w:val="Normal"/>
    <w:link w:val="BalloonTextChar"/>
    <w:uiPriority w:val="99"/>
    <w:semiHidden/>
    <w:unhideWhenUsed/>
    <w:rsid w:val="00217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EC6"/>
    <w:rPr>
      <w:rFonts w:ascii="Tahoma" w:hAnsi="Tahoma" w:cs="Tahoma"/>
      <w:sz w:val="16"/>
      <w:szCs w:val="16"/>
      <w:lang w:val="id-ID"/>
    </w:rPr>
  </w:style>
  <w:style w:type="table" w:styleId="TableGrid">
    <w:name w:val="Table Grid"/>
    <w:basedOn w:val="TableNormal"/>
    <w:uiPriority w:val="59"/>
    <w:rsid w:val="00A86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oerJudulGambar">
    <w:name w:val="Avoer Judul Gambar"/>
    <w:basedOn w:val="AvoerParagraph"/>
    <w:autoRedefine/>
    <w:qFormat/>
    <w:rsid w:val="00AF0E97"/>
    <w:pPr>
      <w:ind w:firstLine="0"/>
      <w:contextualSpacing w:val="0"/>
    </w:pPr>
    <w:rPr>
      <w:lang w:val="en-US"/>
    </w:rPr>
  </w:style>
  <w:style w:type="paragraph" w:customStyle="1" w:styleId="AvoerEquation">
    <w:name w:val="Avoer Equation"/>
    <w:basedOn w:val="AvoerParagraph"/>
    <w:qFormat/>
    <w:rsid w:val="00872580"/>
    <w:pPr>
      <w:spacing w:after="0" w:line="240" w:lineRule="auto"/>
      <w:ind w:firstLine="0"/>
    </w:pPr>
    <w:rPr>
      <w:rFonts w:ascii="Cambria Math" w:hAnsi="Cambria Math"/>
      <w:iCs/>
      <w:lang w:val="en-US"/>
    </w:rPr>
  </w:style>
  <w:style w:type="paragraph" w:customStyle="1" w:styleId="AvoerAffliasi">
    <w:name w:val="Avoer Affliasi"/>
    <w:basedOn w:val="Normal"/>
    <w:autoRedefine/>
    <w:qFormat/>
    <w:rsid w:val="00EF560D"/>
    <w:pPr>
      <w:spacing w:after="720"/>
      <w:contextualSpacing/>
      <w:jc w:val="center"/>
    </w:pPr>
    <w:rPr>
      <w:rFonts w:ascii="Times New Roman" w:hAnsi="Times New Roman" w:cs="Times New Roman"/>
      <w:i/>
      <w:sz w:val="20"/>
      <w:szCs w:val="20"/>
    </w:rPr>
  </w:style>
  <w:style w:type="paragraph" w:customStyle="1" w:styleId="AvoerAbstrak">
    <w:name w:val="Avoer Abstrak"/>
    <w:basedOn w:val="Normal"/>
    <w:autoRedefine/>
    <w:qFormat/>
    <w:rsid w:val="00C76CB5"/>
    <w:pPr>
      <w:spacing w:after="240" w:line="240" w:lineRule="auto"/>
      <w:jc w:val="both"/>
    </w:pPr>
    <w:rPr>
      <w:rFonts w:ascii="Times New Roman" w:hAnsi="Times New Roman" w:cs="Times New Roman"/>
      <w:sz w:val="20"/>
      <w:szCs w:val="20"/>
    </w:rPr>
  </w:style>
  <w:style w:type="paragraph" w:customStyle="1" w:styleId="AvoerKeyword">
    <w:name w:val="Avoer Keyword"/>
    <w:basedOn w:val="Normal"/>
    <w:autoRedefine/>
    <w:qFormat/>
    <w:rsid w:val="00D343DF"/>
    <w:pPr>
      <w:spacing w:after="240" w:line="240" w:lineRule="auto"/>
      <w:jc w:val="both"/>
    </w:pPr>
    <w:rPr>
      <w:rFonts w:ascii="Times New Roman" w:hAnsi="Times New Roman" w:cs="Times New Roman"/>
      <w:sz w:val="20"/>
      <w:szCs w:val="20"/>
    </w:rPr>
  </w:style>
  <w:style w:type="paragraph" w:customStyle="1" w:styleId="AvoerAbstract">
    <w:name w:val="Avoer Abstract"/>
    <w:basedOn w:val="Normal"/>
    <w:autoRedefine/>
    <w:qFormat/>
    <w:rsid w:val="00F12D71"/>
    <w:pPr>
      <w:spacing w:after="240" w:line="240" w:lineRule="auto"/>
      <w:jc w:val="both"/>
    </w:pPr>
    <w:rPr>
      <w:rFonts w:ascii="Times New Roman" w:hAnsi="Times New Roman" w:cs="Times New Roman"/>
      <w:i/>
      <w:sz w:val="20"/>
      <w:szCs w:val="20"/>
    </w:rPr>
  </w:style>
  <w:style w:type="paragraph" w:customStyle="1" w:styleId="AvoerKeywords">
    <w:name w:val="Avoer Keywords"/>
    <w:basedOn w:val="Normal"/>
    <w:autoRedefine/>
    <w:qFormat/>
    <w:rsid w:val="00F12D71"/>
    <w:pPr>
      <w:spacing w:after="240" w:line="240" w:lineRule="auto"/>
      <w:jc w:val="both"/>
    </w:pPr>
    <w:rPr>
      <w:rFonts w:ascii="Times New Roman" w:hAnsi="Times New Roman" w:cs="Times New Roman"/>
      <w:i/>
      <w:sz w:val="20"/>
      <w:szCs w:val="20"/>
    </w:rPr>
  </w:style>
  <w:style w:type="paragraph" w:customStyle="1" w:styleId="AvoerJudulTabel">
    <w:name w:val="Avoer Judul Tabel"/>
    <w:basedOn w:val="AvoerJudulGambar"/>
    <w:autoRedefine/>
    <w:qFormat/>
    <w:rsid w:val="00A33C33"/>
    <w:rPr>
      <w:lang w:val="id-ID"/>
    </w:rPr>
  </w:style>
  <w:style w:type="paragraph" w:customStyle="1" w:styleId="AvoerTabel">
    <w:name w:val="Avoer Tabel"/>
    <w:basedOn w:val="Normal"/>
    <w:autoRedefine/>
    <w:qFormat/>
    <w:rsid w:val="004446F2"/>
    <w:pPr>
      <w:spacing w:after="0" w:line="240" w:lineRule="auto"/>
      <w:jc w:val="center"/>
    </w:pPr>
    <w:rPr>
      <w:rFonts w:ascii="Times New Roman" w:hAnsi="Times New Roman" w:cs="Times New Roman"/>
      <w:sz w:val="20"/>
      <w:szCs w:val="20"/>
    </w:rPr>
  </w:style>
  <w:style w:type="paragraph" w:customStyle="1" w:styleId="AvoerGambar">
    <w:name w:val="Avoer Gambar"/>
    <w:basedOn w:val="AvoerJudulGambar"/>
    <w:autoRedefine/>
    <w:qFormat/>
    <w:rsid w:val="006C3690"/>
    <w:pPr>
      <w:jc w:val="center"/>
    </w:pPr>
    <w:rPr>
      <w:noProof/>
    </w:rPr>
  </w:style>
  <w:style w:type="paragraph" w:styleId="Caption">
    <w:name w:val="caption"/>
    <w:basedOn w:val="Normal"/>
    <w:next w:val="Normal"/>
    <w:uiPriority w:val="35"/>
    <w:unhideWhenUsed/>
    <w:qFormat/>
    <w:rsid w:val="00A62E28"/>
    <w:pPr>
      <w:spacing w:line="240" w:lineRule="auto"/>
    </w:pPr>
    <w:rPr>
      <w:i/>
      <w:iCs/>
      <w:color w:val="1F497D" w:themeColor="text2"/>
      <w:sz w:val="18"/>
      <w:szCs w:val="18"/>
    </w:rPr>
  </w:style>
  <w:style w:type="paragraph" w:customStyle="1" w:styleId="AvoerDaftarPustaka">
    <w:name w:val="Avoer Daftar Pustaka"/>
    <w:basedOn w:val="Normal"/>
    <w:autoRedefine/>
    <w:qFormat/>
    <w:rsid w:val="00211ADD"/>
    <w:pPr>
      <w:spacing w:after="0"/>
      <w:ind w:left="426" w:hanging="426"/>
      <w:jc w:val="both"/>
    </w:pPr>
    <w:rPr>
      <w:rFonts w:ascii="Times New Roman" w:hAnsi="Times New Roman" w:cs="Times New Roman"/>
      <w:sz w:val="20"/>
      <w:szCs w:val="20"/>
    </w:rPr>
  </w:style>
  <w:style w:type="character" w:customStyle="1" w:styleId="UnresolvedMention">
    <w:name w:val="Unresolved Mention"/>
    <w:basedOn w:val="DefaultParagraphFont"/>
    <w:uiPriority w:val="99"/>
    <w:semiHidden/>
    <w:unhideWhenUsed/>
    <w:rsid w:val="0093233F"/>
    <w:rPr>
      <w:color w:val="605E5C"/>
      <w:shd w:val="clear" w:color="auto" w:fill="E1DFDD"/>
    </w:rPr>
  </w:style>
  <w:style w:type="paragraph" w:customStyle="1" w:styleId="HeadingNoNumber">
    <w:name w:val="Heading No Number"/>
    <w:basedOn w:val="Heading1"/>
    <w:autoRedefine/>
    <w:qFormat/>
    <w:rsid w:val="00D26AF3"/>
    <w:pPr>
      <w:numPr>
        <w:numId w:val="0"/>
      </w:numPr>
      <w:ind w:left="426" w:hanging="426"/>
    </w:pPr>
  </w:style>
  <w:style w:type="paragraph" w:styleId="NormalWeb">
    <w:name w:val="Normal (Web)"/>
    <w:basedOn w:val="Normal"/>
    <w:uiPriority w:val="99"/>
    <w:semiHidden/>
    <w:unhideWhenUsed/>
    <w:rsid w:val="00142705"/>
    <w:rPr>
      <w:rFonts w:ascii="Times New Roman" w:hAnsi="Times New Roman" w:cs="Times New Roman"/>
      <w:sz w:val="24"/>
      <w:szCs w:val="24"/>
    </w:rPr>
  </w:style>
  <w:style w:type="character" w:styleId="Emphasis">
    <w:name w:val="Emphasis"/>
    <w:basedOn w:val="DefaultParagraphFont"/>
    <w:uiPriority w:val="20"/>
    <w:qFormat/>
    <w:rsid w:val="005475B6"/>
    <w:rPr>
      <w:i/>
      <w:iCs/>
    </w:rPr>
  </w:style>
  <w:style w:type="character" w:styleId="Strong">
    <w:name w:val="Strong"/>
    <w:basedOn w:val="DefaultParagraphFont"/>
    <w:uiPriority w:val="22"/>
    <w:qFormat/>
    <w:rsid w:val="00103E99"/>
    <w:rPr>
      <w:b/>
      <w:bCs/>
    </w:rPr>
  </w:style>
  <w:style w:type="character" w:styleId="CommentReference">
    <w:name w:val="annotation reference"/>
    <w:basedOn w:val="DefaultParagraphFont"/>
    <w:uiPriority w:val="99"/>
    <w:semiHidden/>
    <w:unhideWhenUsed/>
    <w:rsid w:val="00B22A97"/>
    <w:rPr>
      <w:sz w:val="16"/>
      <w:szCs w:val="16"/>
    </w:rPr>
  </w:style>
  <w:style w:type="paragraph" w:styleId="CommentText">
    <w:name w:val="annotation text"/>
    <w:basedOn w:val="Normal"/>
    <w:link w:val="CommentTextChar"/>
    <w:uiPriority w:val="99"/>
    <w:semiHidden/>
    <w:unhideWhenUsed/>
    <w:rsid w:val="00B22A97"/>
    <w:pPr>
      <w:spacing w:after="5" w:line="240" w:lineRule="auto"/>
      <w:ind w:left="10" w:right="7" w:hanging="10"/>
      <w:jc w:val="both"/>
    </w:pPr>
    <w:rPr>
      <w:rFonts w:ascii="Times New Roman" w:eastAsia="Times New Roman" w:hAnsi="Times New Roman" w:cs="Times New Roman"/>
      <w:color w:val="000000"/>
      <w:sz w:val="20"/>
      <w:szCs w:val="20"/>
      <w:lang w:val="id" w:bidi="en-US"/>
    </w:rPr>
  </w:style>
  <w:style w:type="character" w:customStyle="1" w:styleId="CommentTextChar">
    <w:name w:val="Comment Text Char"/>
    <w:basedOn w:val="DefaultParagraphFont"/>
    <w:link w:val="CommentText"/>
    <w:uiPriority w:val="99"/>
    <w:semiHidden/>
    <w:rsid w:val="00B22A97"/>
    <w:rPr>
      <w:rFonts w:ascii="Times New Roman" w:eastAsia="Times New Roman" w:hAnsi="Times New Roman" w:cs="Times New Roman"/>
      <w:color w:val="000000"/>
      <w:sz w:val="20"/>
      <w:szCs w:val="20"/>
      <w:lang w:val="id" w:bidi="en-US"/>
    </w:rPr>
  </w:style>
  <w:style w:type="table" w:styleId="PlainTable4">
    <w:name w:val="Plain Table 4"/>
    <w:basedOn w:val="TableNormal"/>
    <w:uiPriority w:val="44"/>
    <w:rsid w:val="00D32D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A61C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927">
      <w:bodyDiv w:val="1"/>
      <w:marLeft w:val="0"/>
      <w:marRight w:val="0"/>
      <w:marTop w:val="0"/>
      <w:marBottom w:val="0"/>
      <w:divBdr>
        <w:top w:val="none" w:sz="0" w:space="0" w:color="auto"/>
        <w:left w:val="none" w:sz="0" w:space="0" w:color="auto"/>
        <w:bottom w:val="none" w:sz="0" w:space="0" w:color="auto"/>
        <w:right w:val="none" w:sz="0" w:space="0" w:color="auto"/>
      </w:divBdr>
      <w:divsChild>
        <w:div w:id="1440685645">
          <w:marLeft w:val="0"/>
          <w:marRight w:val="0"/>
          <w:marTop w:val="0"/>
          <w:marBottom w:val="0"/>
          <w:divBdr>
            <w:top w:val="none" w:sz="0" w:space="0" w:color="auto"/>
            <w:left w:val="none" w:sz="0" w:space="0" w:color="auto"/>
            <w:bottom w:val="none" w:sz="0" w:space="0" w:color="auto"/>
            <w:right w:val="none" w:sz="0" w:space="0" w:color="auto"/>
          </w:divBdr>
          <w:divsChild>
            <w:div w:id="9133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6067">
      <w:bodyDiv w:val="1"/>
      <w:marLeft w:val="0"/>
      <w:marRight w:val="0"/>
      <w:marTop w:val="0"/>
      <w:marBottom w:val="0"/>
      <w:divBdr>
        <w:top w:val="none" w:sz="0" w:space="0" w:color="auto"/>
        <w:left w:val="none" w:sz="0" w:space="0" w:color="auto"/>
        <w:bottom w:val="none" w:sz="0" w:space="0" w:color="auto"/>
        <w:right w:val="none" w:sz="0" w:space="0" w:color="auto"/>
      </w:divBdr>
    </w:div>
    <w:div w:id="144124506">
      <w:bodyDiv w:val="1"/>
      <w:marLeft w:val="0"/>
      <w:marRight w:val="0"/>
      <w:marTop w:val="0"/>
      <w:marBottom w:val="0"/>
      <w:divBdr>
        <w:top w:val="none" w:sz="0" w:space="0" w:color="auto"/>
        <w:left w:val="none" w:sz="0" w:space="0" w:color="auto"/>
        <w:bottom w:val="none" w:sz="0" w:space="0" w:color="auto"/>
        <w:right w:val="none" w:sz="0" w:space="0" w:color="auto"/>
      </w:divBdr>
      <w:divsChild>
        <w:div w:id="1611548684">
          <w:marLeft w:val="0"/>
          <w:marRight w:val="0"/>
          <w:marTop w:val="0"/>
          <w:marBottom w:val="0"/>
          <w:divBdr>
            <w:top w:val="none" w:sz="0" w:space="0" w:color="auto"/>
            <w:left w:val="none" w:sz="0" w:space="0" w:color="auto"/>
            <w:bottom w:val="none" w:sz="0" w:space="0" w:color="auto"/>
            <w:right w:val="none" w:sz="0" w:space="0" w:color="auto"/>
          </w:divBdr>
          <w:divsChild>
            <w:div w:id="8776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5499">
      <w:bodyDiv w:val="1"/>
      <w:marLeft w:val="0"/>
      <w:marRight w:val="0"/>
      <w:marTop w:val="0"/>
      <w:marBottom w:val="0"/>
      <w:divBdr>
        <w:top w:val="none" w:sz="0" w:space="0" w:color="auto"/>
        <w:left w:val="none" w:sz="0" w:space="0" w:color="auto"/>
        <w:bottom w:val="none" w:sz="0" w:space="0" w:color="auto"/>
        <w:right w:val="none" w:sz="0" w:space="0" w:color="auto"/>
      </w:divBdr>
    </w:div>
    <w:div w:id="184056251">
      <w:bodyDiv w:val="1"/>
      <w:marLeft w:val="0"/>
      <w:marRight w:val="0"/>
      <w:marTop w:val="0"/>
      <w:marBottom w:val="0"/>
      <w:divBdr>
        <w:top w:val="none" w:sz="0" w:space="0" w:color="auto"/>
        <w:left w:val="none" w:sz="0" w:space="0" w:color="auto"/>
        <w:bottom w:val="none" w:sz="0" w:space="0" w:color="auto"/>
        <w:right w:val="none" w:sz="0" w:space="0" w:color="auto"/>
      </w:divBdr>
    </w:div>
    <w:div w:id="206142236">
      <w:bodyDiv w:val="1"/>
      <w:marLeft w:val="0"/>
      <w:marRight w:val="0"/>
      <w:marTop w:val="0"/>
      <w:marBottom w:val="0"/>
      <w:divBdr>
        <w:top w:val="none" w:sz="0" w:space="0" w:color="auto"/>
        <w:left w:val="none" w:sz="0" w:space="0" w:color="auto"/>
        <w:bottom w:val="none" w:sz="0" w:space="0" w:color="auto"/>
        <w:right w:val="none" w:sz="0" w:space="0" w:color="auto"/>
      </w:divBdr>
    </w:div>
    <w:div w:id="367803224">
      <w:bodyDiv w:val="1"/>
      <w:marLeft w:val="0"/>
      <w:marRight w:val="0"/>
      <w:marTop w:val="0"/>
      <w:marBottom w:val="0"/>
      <w:divBdr>
        <w:top w:val="none" w:sz="0" w:space="0" w:color="auto"/>
        <w:left w:val="none" w:sz="0" w:space="0" w:color="auto"/>
        <w:bottom w:val="none" w:sz="0" w:space="0" w:color="auto"/>
        <w:right w:val="none" w:sz="0" w:space="0" w:color="auto"/>
      </w:divBdr>
    </w:div>
    <w:div w:id="426774134">
      <w:bodyDiv w:val="1"/>
      <w:marLeft w:val="0"/>
      <w:marRight w:val="0"/>
      <w:marTop w:val="0"/>
      <w:marBottom w:val="0"/>
      <w:divBdr>
        <w:top w:val="none" w:sz="0" w:space="0" w:color="auto"/>
        <w:left w:val="none" w:sz="0" w:space="0" w:color="auto"/>
        <w:bottom w:val="none" w:sz="0" w:space="0" w:color="auto"/>
        <w:right w:val="none" w:sz="0" w:space="0" w:color="auto"/>
      </w:divBdr>
    </w:div>
    <w:div w:id="524443268">
      <w:bodyDiv w:val="1"/>
      <w:marLeft w:val="0"/>
      <w:marRight w:val="0"/>
      <w:marTop w:val="0"/>
      <w:marBottom w:val="0"/>
      <w:divBdr>
        <w:top w:val="none" w:sz="0" w:space="0" w:color="auto"/>
        <w:left w:val="none" w:sz="0" w:space="0" w:color="auto"/>
        <w:bottom w:val="none" w:sz="0" w:space="0" w:color="auto"/>
        <w:right w:val="none" w:sz="0" w:space="0" w:color="auto"/>
      </w:divBdr>
    </w:div>
    <w:div w:id="763300390">
      <w:bodyDiv w:val="1"/>
      <w:marLeft w:val="0"/>
      <w:marRight w:val="0"/>
      <w:marTop w:val="0"/>
      <w:marBottom w:val="0"/>
      <w:divBdr>
        <w:top w:val="none" w:sz="0" w:space="0" w:color="auto"/>
        <w:left w:val="none" w:sz="0" w:space="0" w:color="auto"/>
        <w:bottom w:val="none" w:sz="0" w:space="0" w:color="auto"/>
        <w:right w:val="none" w:sz="0" w:space="0" w:color="auto"/>
      </w:divBdr>
    </w:div>
    <w:div w:id="1101341851">
      <w:bodyDiv w:val="1"/>
      <w:marLeft w:val="0"/>
      <w:marRight w:val="0"/>
      <w:marTop w:val="0"/>
      <w:marBottom w:val="0"/>
      <w:divBdr>
        <w:top w:val="none" w:sz="0" w:space="0" w:color="auto"/>
        <w:left w:val="none" w:sz="0" w:space="0" w:color="auto"/>
        <w:bottom w:val="none" w:sz="0" w:space="0" w:color="auto"/>
        <w:right w:val="none" w:sz="0" w:space="0" w:color="auto"/>
      </w:divBdr>
    </w:div>
    <w:div w:id="1175536154">
      <w:bodyDiv w:val="1"/>
      <w:marLeft w:val="0"/>
      <w:marRight w:val="0"/>
      <w:marTop w:val="0"/>
      <w:marBottom w:val="0"/>
      <w:divBdr>
        <w:top w:val="none" w:sz="0" w:space="0" w:color="auto"/>
        <w:left w:val="none" w:sz="0" w:space="0" w:color="auto"/>
        <w:bottom w:val="none" w:sz="0" w:space="0" w:color="auto"/>
        <w:right w:val="none" w:sz="0" w:space="0" w:color="auto"/>
      </w:divBdr>
    </w:div>
    <w:div w:id="1389645630">
      <w:bodyDiv w:val="1"/>
      <w:marLeft w:val="0"/>
      <w:marRight w:val="0"/>
      <w:marTop w:val="0"/>
      <w:marBottom w:val="0"/>
      <w:divBdr>
        <w:top w:val="none" w:sz="0" w:space="0" w:color="auto"/>
        <w:left w:val="none" w:sz="0" w:space="0" w:color="auto"/>
        <w:bottom w:val="none" w:sz="0" w:space="0" w:color="auto"/>
        <w:right w:val="none" w:sz="0" w:space="0" w:color="auto"/>
      </w:divBdr>
    </w:div>
    <w:div w:id="1670479129">
      <w:bodyDiv w:val="1"/>
      <w:marLeft w:val="0"/>
      <w:marRight w:val="0"/>
      <w:marTop w:val="0"/>
      <w:marBottom w:val="0"/>
      <w:divBdr>
        <w:top w:val="none" w:sz="0" w:space="0" w:color="auto"/>
        <w:left w:val="none" w:sz="0" w:space="0" w:color="auto"/>
        <w:bottom w:val="none" w:sz="0" w:space="0" w:color="auto"/>
        <w:right w:val="none" w:sz="0" w:space="0" w:color="auto"/>
      </w:divBdr>
    </w:div>
    <w:div w:id="1779258457">
      <w:bodyDiv w:val="1"/>
      <w:marLeft w:val="0"/>
      <w:marRight w:val="0"/>
      <w:marTop w:val="0"/>
      <w:marBottom w:val="0"/>
      <w:divBdr>
        <w:top w:val="none" w:sz="0" w:space="0" w:color="auto"/>
        <w:left w:val="none" w:sz="0" w:space="0" w:color="auto"/>
        <w:bottom w:val="none" w:sz="0" w:space="0" w:color="auto"/>
        <w:right w:val="none" w:sz="0" w:space="0" w:color="auto"/>
      </w:divBdr>
    </w:div>
    <w:div w:id="1870602291">
      <w:bodyDiv w:val="1"/>
      <w:marLeft w:val="0"/>
      <w:marRight w:val="0"/>
      <w:marTop w:val="0"/>
      <w:marBottom w:val="0"/>
      <w:divBdr>
        <w:top w:val="none" w:sz="0" w:space="0" w:color="auto"/>
        <w:left w:val="none" w:sz="0" w:space="0" w:color="auto"/>
        <w:bottom w:val="none" w:sz="0" w:space="0" w:color="auto"/>
        <w:right w:val="none" w:sz="0" w:space="0" w:color="auto"/>
      </w:divBdr>
    </w:div>
    <w:div w:id="2054765566">
      <w:bodyDiv w:val="1"/>
      <w:marLeft w:val="0"/>
      <w:marRight w:val="0"/>
      <w:marTop w:val="0"/>
      <w:marBottom w:val="0"/>
      <w:divBdr>
        <w:top w:val="none" w:sz="0" w:space="0" w:color="auto"/>
        <w:left w:val="none" w:sz="0" w:space="0" w:color="auto"/>
        <w:bottom w:val="none" w:sz="0" w:space="0" w:color="auto"/>
        <w:right w:val="none" w:sz="0" w:space="0" w:color="auto"/>
      </w:divBdr>
      <w:divsChild>
        <w:div w:id="963583085">
          <w:marLeft w:val="0"/>
          <w:marRight w:val="0"/>
          <w:marTop w:val="0"/>
          <w:marBottom w:val="0"/>
          <w:divBdr>
            <w:top w:val="none" w:sz="0" w:space="0" w:color="auto"/>
            <w:left w:val="none" w:sz="0" w:space="0" w:color="auto"/>
            <w:bottom w:val="none" w:sz="0" w:space="0" w:color="auto"/>
            <w:right w:val="none" w:sz="0" w:space="0" w:color="auto"/>
          </w:divBdr>
        </w:div>
      </w:divsChild>
    </w:div>
    <w:div w:id="207631230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isantosokimia@unsri.ac.id" TargetMode="External"/><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kuliah\semester%207\Riset\proposal%20riset%20saya\DENSITAS%20DAN%20BERAT%20KATAL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kuliah\semester%207\Riset\proposal%20riset%20saya\DENSITAS%20DAN%20BERAT%20KATAL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kuliah\semester%207\Riset\proposal%20riset%20saya\DENSITAS%20DAN%20BERAT%20KATAL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Suhu 250ºC</c:v>
          </c:tx>
          <c:spPr>
            <a:pattFill prst="dkVert">
              <a:fgClr>
                <a:schemeClr val="accent1"/>
              </a:fgClr>
              <a:bgClr>
                <a:schemeClr val="bg1"/>
              </a:bgClr>
            </a:pattFill>
            <a:ln>
              <a:noFill/>
            </a:ln>
            <a:effectLst>
              <a:innerShdw blurRad="114300">
                <a:schemeClr val="accent1"/>
              </a:innerShdw>
            </a:effectLst>
          </c:spPr>
          <c:invertIfNegative val="0"/>
          <c:cat>
            <c:strLit>
              <c:ptCount val="3"/>
              <c:pt idx="0">
                <c:v>Sunflower</c:v>
              </c:pt>
              <c:pt idx="1">
                <c:v>Jagung</c:v>
              </c:pt>
              <c:pt idx="2">
                <c:v>Sawit</c:v>
              </c:pt>
            </c:strLit>
          </c:cat>
          <c:val>
            <c:numRef>
              <c:f>('DENSITAS MINYAK'!$F$7,'DENSITAS MINYAK'!$F$12,'DENSITAS MINYAK'!$F$17)</c:f>
              <c:numCache>
                <c:formatCode>General</c:formatCode>
                <c:ptCount val="3"/>
                <c:pt idx="0">
                  <c:v>0.95034799999999986</c:v>
                </c:pt>
                <c:pt idx="1">
                  <c:v>0.95560800000000001</c:v>
                </c:pt>
                <c:pt idx="2">
                  <c:v>0.94641600000000015</c:v>
                </c:pt>
              </c:numCache>
            </c:numRef>
          </c:val>
          <c:extLst xmlns:c16r2="http://schemas.microsoft.com/office/drawing/2015/06/chart">
            <c:ext xmlns:c16="http://schemas.microsoft.com/office/drawing/2014/chart" uri="{C3380CC4-5D6E-409C-BE32-E72D297353CC}">
              <c16:uniqueId val="{00000000-14CE-420F-B8CD-CEAE34926024}"/>
            </c:ext>
          </c:extLst>
        </c:ser>
        <c:ser>
          <c:idx val="1"/>
          <c:order val="1"/>
          <c:tx>
            <c:v>Suhu 300ºC</c:v>
          </c:tx>
          <c:spPr>
            <a:pattFill prst="ltHorz">
              <a:fgClr>
                <a:schemeClr val="accent2"/>
              </a:fgClr>
              <a:bgClr>
                <a:schemeClr val="bg1"/>
              </a:bgClr>
            </a:pattFill>
            <a:ln>
              <a:noFill/>
            </a:ln>
            <a:effectLst>
              <a:innerShdw blurRad="114300">
                <a:schemeClr val="accent2"/>
              </a:innerShdw>
            </a:effectLst>
          </c:spPr>
          <c:invertIfNegative val="0"/>
          <c:cat>
            <c:strLit>
              <c:ptCount val="3"/>
              <c:pt idx="0">
                <c:v>Sunflower</c:v>
              </c:pt>
              <c:pt idx="1">
                <c:v>Jagung</c:v>
              </c:pt>
              <c:pt idx="2">
                <c:v>Sawit</c:v>
              </c:pt>
            </c:strLit>
          </c:cat>
          <c:val>
            <c:numRef>
              <c:f>('DENSITAS MINYAK'!$F$8,'DENSITAS MINYAK'!$F$13,'DENSITAS MINYAK'!$F$18)</c:f>
              <c:numCache>
                <c:formatCode>General</c:formatCode>
                <c:ptCount val="3"/>
                <c:pt idx="0">
                  <c:v>0.937056</c:v>
                </c:pt>
                <c:pt idx="1">
                  <c:v>0.94331199999999993</c:v>
                </c:pt>
                <c:pt idx="2">
                  <c:v>0.93650800000000001</c:v>
                </c:pt>
              </c:numCache>
            </c:numRef>
          </c:val>
          <c:extLst xmlns:c16r2="http://schemas.microsoft.com/office/drawing/2015/06/chart">
            <c:ext xmlns:c16="http://schemas.microsoft.com/office/drawing/2014/chart" uri="{C3380CC4-5D6E-409C-BE32-E72D297353CC}">
              <c16:uniqueId val="{00000001-14CE-420F-B8CD-CEAE34926024}"/>
            </c:ext>
          </c:extLst>
        </c:ser>
        <c:ser>
          <c:idx val="2"/>
          <c:order val="2"/>
          <c:tx>
            <c:v>Suhu 350ºC</c:v>
          </c:tx>
          <c:spPr>
            <a:pattFill prst="wdDnDiag">
              <a:fgClr>
                <a:schemeClr val="accent3"/>
              </a:fgClr>
              <a:bgClr>
                <a:schemeClr val="bg1"/>
              </a:bgClr>
            </a:pattFill>
            <a:ln>
              <a:noFill/>
            </a:ln>
            <a:effectLst>
              <a:innerShdw blurRad="114300">
                <a:schemeClr val="accent3"/>
              </a:innerShdw>
            </a:effectLst>
          </c:spPr>
          <c:invertIfNegative val="0"/>
          <c:cat>
            <c:strLit>
              <c:ptCount val="3"/>
              <c:pt idx="0">
                <c:v>Sunflower</c:v>
              </c:pt>
              <c:pt idx="1">
                <c:v>Jagung</c:v>
              </c:pt>
              <c:pt idx="2">
                <c:v>Sawit</c:v>
              </c:pt>
            </c:strLit>
          </c:cat>
          <c:val>
            <c:numRef>
              <c:f>('DENSITAS MINYAK'!$F$9,'DENSITAS MINYAK'!$F$14,'DENSITAS MINYAK'!$F$19)</c:f>
              <c:numCache>
                <c:formatCode>General</c:formatCode>
                <c:ptCount val="3"/>
                <c:pt idx="0">
                  <c:v>0.92626399999999987</c:v>
                </c:pt>
                <c:pt idx="1">
                  <c:v>0.94320799999999994</c:v>
                </c:pt>
                <c:pt idx="2">
                  <c:v>0.93635199999999996</c:v>
                </c:pt>
              </c:numCache>
            </c:numRef>
          </c:val>
          <c:extLst xmlns:c16r2="http://schemas.microsoft.com/office/drawing/2015/06/chart">
            <c:ext xmlns:c16="http://schemas.microsoft.com/office/drawing/2014/chart" uri="{C3380CC4-5D6E-409C-BE32-E72D297353CC}">
              <c16:uniqueId val="{00000002-14CE-420F-B8CD-CEAE34926024}"/>
            </c:ext>
          </c:extLst>
        </c:ser>
        <c:dLbls>
          <c:showLegendKey val="0"/>
          <c:showVal val="0"/>
          <c:showCatName val="0"/>
          <c:showSerName val="0"/>
          <c:showPercent val="0"/>
          <c:showBubbleSize val="0"/>
        </c:dLbls>
        <c:gapWidth val="164"/>
        <c:overlap val="-22"/>
        <c:axId val="-947148976"/>
        <c:axId val="-947132656"/>
      </c:barChart>
      <c:catAx>
        <c:axId val="-947148976"/>
        <c:scaling>
          <c:orientation val="minMax"/>
        </c:scaling>
        <c:delete val="0"/>
        <c:axPos val="b"/>
        <c:numFmt formatCode="#,##0" sourceLinked="0"/>
        <c:majorTickMark val="none"/>
        <c:minorTickMark val="none"/>
        <c:tickLblPos val="low"/>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947132656"/>
        <c:crosses val="autoZero"/>
        <c:auto val="0"/>
        <c:lblAlgn val="ctr"/>
        <c:lblOffset val="100"/>
        <c:tickLblSkip val="1"/>
        <c:noMultiLvlLbl val="0"/>
      </c:catAx>
      <c:valAx>
        <c:axId val="-947132656"/>
        <c:scaling>
          <c:orientation val="minMax"/>
          <c:max val="1"/>
          <c:min val="0"/>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Densitas (gr/ml)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947148976"/>
        <c:crosses val="autoZero"/>
        <c:crossBetween val="between"/>
        <c:majorUnit val="0.1"/>
      </c:valAx>
      <c:spPr>
        <a:noFill/>
        <a:ln>
          <a:noFill/>
        </a:ln>
        <a:effectLst/>
      </c:spPr>
    </c:plotArea>
    <c:legend>
      <c:legendPos val="t"/>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Entry>
      <c:legendEntry>
        <c:idx val="1"/>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Entry>
      <c:legendEntry>
        <c:idx val="2"/>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id-ID"/>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Suhu 250ºC</c:v>
          </c:tx>
          <c:spPr>
            <a:pattFill prst="narVert">
              <a:fgClr>
                <a:schemeClr val="accent1"/>
              </a:fgClr>
              <a:bgClr>
                <a:schemeClr val="bg1"/>
              </a:bgClr>
            </a:pattFill>
            <a:ln>
              <a:noFill/>
            </a:ln>
            <a:effectLst>
              <a:innerShdw blurRad="114300">
                <a:schemeClr val="accent1"/>
              </a:innerShdw>
            </a:effectLst>
          </c:spPr>
          <c:invertIfNegative val="0"/>
          <c:cat>
            <c:strRef>
              <c:f>('viscositas minyak'!$B$9,'viscositas minyak'!$B$8,'viscositas minyak'!$B$10)</c:f>
              <c:strCache>
                <c:ptCount val="3"/>
                <c:pt idx="0">
                  <c:v>Sunflower</c:v>
                </c:pt>
                <c:pt idx="1">
                  <c:v>Jagung</c:v>
                </c:pt>
                <c:pt idx="2">
                  <c:v>Sawit</c:v>
                </c:pt>
              </c:strCache>
            </c:strRef>
          </c:cat>
          <c:val>
            <c:numRef>
              <c:f>('viscositas minyak'!$H$14,'viscositas minyak'!$H$8,'viscositas minyak'!$L$8)</c:f>
              <c:numCache>
                <c:formatCode>General</c:formatCode>
                <c:ptCount val="3"/>
                <c:pt idx="0">
                  <c:v>43.343299999999999</c:v>
                </c:pt>
                <c:pt idx="1">
                  <c:v>60.260199999999998</c:v>
                </c:pt>
                <c:pt idx="2">
                  <c:v>68.868799999999993</c:v>
                </c:pt>
              </c:numCache>
            </c:numRef>
          </c:val>
          <c:extLst xmlns:c16r2="http://schemas.microsoft.com/office/drawing/2015/06/chart">
            <c:ext xmlns:c16="http://schemas.microsoft.com/office/drawing/2014/chart" uri="{C3380CC4-5D6E-409C-BE32-E72D297353CC}">
              <c16:uniqueId val="{00000000-7D89-4369-9FE7-D8376C8EBF8E}"/>
            </c:ext>
          </c:extLst>
        </c:ser>
        <c:ser>
          <c:idx val="1"/>
          <c:order val="1"/>
          <c:tx>
            <c:v>Suhu 300ºC</c:v>
          </c:tx>
          <c:spPr>
            <a:pattFill prst="dkHorz">
              <a:fgClr>
                <a:schemeClr val="accent2"/>
              </a:fgClr>
              <a:bgClr>
                <a:schemeClr val="bg1"/>
              </a:bgClr>
            </a:pattFill>
            <a:ln>
              <a:noFill/>
            </a:ln>
            <a:effectLst>
              <a:innerShdw blurRad="114300">
                <a:schemeClr val="accent2"/>
              </a:innerShdw>
            </a:effectLst>
          </c:spPr>
          <c:invertIfNegative val="0"/>
          <c:cat>
            <c:strRef>
              <c:f>('viscositas minyak'!$B$9,'viscositas minyak'!$B$8,'viscositas minyak'!$B$10)</c:f>
              <c:strCache>
                <c:ptCount val="3"/>
                <c:pt idx="0">
                  <c:v>Sunflower</c:v>
                </c:pt>
                <c:pt idx="1">
                  <c:v>Jagung</c:v>
                </c:pt>
                <c:pt idx="2">
                  <c:v>Sawit</c:v>
                </c:pt>
              </c:strCache>
            </c:strRef>
          </c:cat>
          <c:val>
            <c:numRef>
              <c:f>('viscositas minyak'!$H$15,'viscositas minyak'!$H$9,'viscositas minyak'!$L$9)</c:f>
              <c:numCache>
                <c:formatCode>General</c:formatCode>
                <c:ptCount val="3"/>
                <c:pt idx="0">
                  <c:v>60.560499999999998</c:v>
                </c:pt>
                <c:pt idx="1">
                  <c:v>92.492399999999989</c:v>
                </c:pt>
                <c:pt idx="2">
                  <c:v>61.461399999999998</c:v>
                </c:pt>
              </c:numCache>
            </c:numRef>
          </c:val>
          <c:extLst xmlns:c16r2="http://schemas.microsoft.com/office/drawing/2015/06/chart">
            <c:ext xmlns:c16="http://schemas.microsoft.com/office/drawing/2014/chart" uri="{C3380CC4-5D6E-409C-BE32-E72D297353CC}">
              <c16:uniqueId val="{00000001-7D89-4369-9FE7-D8376C8EBF8E}"/>
            </c:ext>
          </c:extLst>
        </c:ser>
        <c:ser>
          <c:idx val="2"/>
          <c:order val="2"/>
          <c:tx>
            <c:v>Suhu 350ºC</c:v>
          </c:tx>
          <c:spPr>
            <a:pattFill prst="wdDnDiag">
              <a:fgClr>
                <a:schemeClr val="accent3"/>
              </a:fgClr>
              <a:bgClr>
                <a:schemeClr val="bg1"/>
              </a:bgClr>
            </a:pattFill>
            <a:ln>
              <a:solidFill>
                <a:schemeClr val="accent3"/>
              </a:solidFill>
            </a:ln>
            <a:effectLst>
              <a:innerShdw blurRad="114300">
                <a:schemeClr val="accent3"/>
              </a:innerShdw>
            </a:effectLst>
          </c:spPr>
          <c:invertIfNegative val="0"/>
          <c:cat>
            <c:strRef>
              <c:f>('viscositas minyak'!$B$9,'viscositas minyak'!$B$8,'viscositas minyak'!$B$10)</c:f>
              <c:strCache>
                <c:ptCount val="3"/>
                <c:pt idx="0">
                  <c:v>Sunflower</c:v>
                </c:pt>
                <c:pt idx="1">
                  <c:v>Jagung</c:v>
                </c:pt>
                <c:pt idx="2">
                  <c:v>Sawit</c:v>
                </c:pt>
              </c:strCache>
            </c:strRef>
          </c:cat>
          <c:val>
            <c:numRef>
              <c:f>('viscositas minyak'!$H$16,'viscositas minyak'!$H$10,'viscositas minyak'!$L$10)</c:f>
              <c:numCache>
                <c:formatCode>General</c:formatCode>
                <c:ptCount val="3"/>
                <c:pt idx="0">
                  <c:v>91.291199999999989</c:v>
                </c:pt>
                <c:pt idx="1">
                  <c:v>120.72059999999999</c:v>
                </c:pt>
                <c:pt idx="2">
                  <c:v>137.83769999999998</c:v>
                </c:pt>
              </c:numCache>
            </c:numRef>
          </c:val>
          <c:extLst xmlns:c16r2="http://schemas.microsoft.com/office/drawing/2015/06/chart">
            <c:ext xmlns:c16="http://schemas.microsoft.com/office/drawing/2014/chart" uri="{C3380CC4-5D6E-409C-BE32-E72D297353CC}">
              <c16:uniqueId val="{00000002-7D89-4369-9FE7-D8376C8EBF8E}"/>
            </c:ext>
          </c:extLst>
        </c:ser>
        <c:dLbls>
          <c:showLegendKey val="0"/>
          <c:showVal val="0"/>
          <c:showCatName val="0"/>
          <c:showSerName val="0"/>
          <c:showPercent val="0"/>
          <c:showBubbleSize val="0"/>
        </c:dLbls>
        <c:gapWidth val="164"/>
        <c:overlap val="-22"/>
        <c:axId val="-947132112"/>
        <c:axId val="-947148432"/>
      </c:barChart>
      <c:catAx>
        <c:axId val="-9471321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947148432"/>
        <c:crosses val="autoZero"/>
        <c:auto val="1"/>
        <c:lblAlgn val="ctr"/>
        <c:lblOffset val="100"/>
        <c:noMultiLvlLbl val="0"/>
      </c:catAx>
      <c:valAx>
        <c:axId val="-947148432"/>
        <c:scaling>
          <c:orientation val="minMax"/>
          <c:max val="140"/>
          <c:min val="0"/>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t>Viskositas (cSt)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947132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Suhu 250ºC</c:v>
          </c:tx>
          <c:spPr>
            <a:pattFill prst="dkHorz">
              <a:fgClr>
                <a:schemeClr val="accent1"/>
              </a:fgClr>
              <a:bgClr>
                <a:schemeClr val="bg1"/>
              </a:bgClr>
            </a:pattFill>
            <a:ln>
              <a:noFill/>
            </a:ln>
            <a:effectLst>
              <a:innerShdw blurRad="114300">
                <a:schemeClr val="accent1"/>
              </a:innerShdw>
            </a:effectLst>
          </c:spPr>
          <c:invertIfNegative val="0"/>
          <c:cat>
            <c:strRef>
              <c:f>yield!$A$6:$A$8</c:f>
              <c:strCache>
                <c:ptCount val="3"/>
                <c:pt idx="0">
                  <c:v>Sunflower</c:v>
                </c:pt>
                <c:pt idx="1">
                  <c:v>Jagung</c:v>
                </c:pt>
                <c:pt idx="2">
                  <c:v>Sawit</c:v>
                </c:pt>
              </c:strCache>
            </c:strRef>
          </c:cat>
          <c:val>
            <c:numRef>
              <c:f>(yield!$H$3,yield!$H$8,yield!$H$13)</c:f>
              <c:numCache>
                <c:formatCode>General</c:formatCode>
                <c:ptCount val="3"/>
                <c:pt idx="0">
                  <c:v>83.165725047080983</c:v>
                </c:pt>
                <c:pt idx="1">
                  <c:v>87.660035366931922</c:v>
                </c:pt>
                <c:pt idx="2">
                  <c:v>93.655281610495365</c:v>
                </c:pt>
              </c:numCache>
            </c:numRef>
          </c:val>
          <c:extLst xmlns:c16r2="http://schemas.microsoft.com/office/drawing/2015/06/chart">
            <c:ext xmlns:c16="http://schemas.microsoft.com/office/drawing/2014/chart" uri="{C3380CC4-5D6E-409C-BE32-E72D297353CC}">
              <c16:uniqueId val="{00000000-8EC1-4B40-B63E-0698118FB919}"/>
            </c:ext>
          </c:extLst>
        </c:ser>
        <c:ser>
          <c:idx val="1"/>
          <c:order val="1"/>
          <c:tx>
            <c:v>Suhu 300ºC</c:v>
          </c:tx>
          <c:spPr>
            <a:pattFill prst="dkVert">
              <a:fgClr>
                <a:schemeClr val="accent2"/>
              </a:fgClr>
              <a:bgClr>
                <a:schemeClr val="bg1"/>
              </a:bgClr>
            </a:pattFill>
            <a:ln>
              <a:noFill/>
            </a:ln>
            <a:effectLst>
              <a:innerShdw blurRad="114300">
                <a:schemeClr val="accent2"/>
              </a:innerShdw>
            </a:effectLst>
          </c:spPr>
          <c:invertIfNegative val="0"/>
          <c:cat>
            <c:strRef>
              <c:f>yield!$A$6:$A$8</c:f>
              <c:strCache>
                <c:ptCount val="3"/>
                <c:pt idx="0">
                  <c:v>Sunflower</c:v>
                </c:pt>
                <c:pt idx="1">
                  <c:v>Jagung</c:v>
                </c:pt>
                <c:pt idx="2">
                  <c:v>Sawit</c:v>
                </c:pt>
              </c:strCache>
            </c:strRef>
          </c:cat>
          <c:val>
            <c:numRef>
              <c:f>(yield!$H$4,yield!$H$9,yield!$H$14)</c:f>
              <c:numCache>
                <c:formatCode>General</c:formatCode>
                <c:ptCount val="3"/>
                <c:pt idx="0">
                  <c:v>87.191758059155859</c:v>
                </c:pt>
                <c:pt idx="1">
                  <c:v>87.57427055702918</c:v>
                </c:pt>
                <c:pt idx="2">
                  <c:v>66.19684460529291</c:v>
                </c:pt>
              </c:numCache>
            </c:numRef>
          </c:val>
          <c:extLst xmlns:c16r2="http://schemas.microsoft.com/office/drawing/2015/06/chart">
            <c:ext xmlns:c16="http://schemas.microsoft.com/office/drawing/2014/chart" uri="{C3380CC4-5D6E-409C-BE32-E72D297353CC}">
              <c16:uniqueId val="{00000001-8EC1-4B40-B63E-0698118FB919}"/>
            </c:ext>
          </c:extLst>
        </c:ser>
        <c:ser>
          <c:idx val="2"/>
          <c:order val="2"/>
          <c:tx>
            <c:v>Suhu 350ºC</c:v>
          </c:tx>
          <c:spPr>
            <a:pattFill prst="wdUpDiag">
              <a:fgClr>
                <a:schemeClr val="accent3"/>
              </a:fgClr>
              <a:bgClr>
                <a:schemeClr val="bg1"/>
              </a:bgClr>
            </a:pattFill>
            <a:ln>
              <a:noFill/>
            </a:ln>
            <a:effectLst>
              <a:innerShdw blurRad="114300">
                <a:schemeClr val="accent3"/>
              </a:innerShdw>
            </a:effectLst>
          </c:spPr>
          <c:invertIfNegative val="0"/>
          <c:cat>
            <c:strRef>
              <c:f>yield!$A$6:$A$8</c:f>
              <c:strCache>
                <c:ptCount val="3"/>
                <c:pt idx="0">
                  <c:v>Sunflower</c:v>
                </c:pt>
                <c:pt idx="1">
                  <c:v>Jagung</c:v>
                </c:pt>
                <c:pt idx="2">
                  <c:v>Sawit</c:v>
                </c:pt>
              </c:strCache>
            </c:strRef>
          </c:cat>
          <c:val>
            <c:numRef>
              <c:f>(yield!$H$5,yield!$H$10,yield!$H$15)</c:f>
              <c:numCache>
                <c:formatCode>General</c:formatCode>
                <c:ptCount val="3"/>
                <c:pt idx="0">
                  <c:v>74.387393375429284</c:v>
                </c:pt>
                <c:pt idx="1">
                  <c:v>74.534482758620697</c:v>
                </c:pt>
                <c:pt idx="2">
                  <c:v>37.062316218050213</c:v>
                </c:pt>
              </c:numCache>
            </c:numRef>
          </c:val>
          <c:extLst xmlns:c16r2="http://schemas.microsoft.com/office/drawing/2015/06/chart">
            <c:ext xmlns:c16="http://schemas.microsoft.com/office/drawing/2014/chart" uri="{C3380CC4-5D6E-409C-BE32-E72D297353CC}">
              <c16:uniqueId val="{00000002-8EC1-4B40-B63E-0698118FB919}"/>
            </c:ext>
          </c:extLst>
        </c:ser>
        <c:dLbls>
          <c:showLegendKey val="0"/>
          <c:showVal val="0"/>
          <c:showCatName val="0"/>
          <c:showSerName val="0"/>
          <c:showPercent val="0"/>
          <c:showBubbleSize val="0"/>
        </c:dLbls>
        <c:gapWidth val="164"/>
        <c:overlap val="-22"/>
        <c:axId val="-947131568"/>
        <c:axId val="-947131024"/>
      </c:barChart>
      <c:catAx>
        <c:axId val="-94713156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947131024"/>
        <c:crosses val="autoZero"/>
        <c:auto val="1"/>
        <c:lblAlgn val="ctr"/>
        <c:lblOffset val="100"/>
        <c:noMultiLvlLbl val="0"/>
      </c:catAx>
      <c:valAx>
        <c:axId val="-947131024"/>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Yield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9471315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Konversi!$B$18</c:f>
              <c:strCache>
                <c:ptCount val="1"/>
                <c:pt idx="0">
                  <c:v>Suhu 250ºC</c:v>
                </c:pt>
              </c:strCache>
            </c:strRef>
          </c:tx>
          <c:spPr>
            <a:pattFill prst="dkHorz">
              <a:fgClr>
                <a:schemeClr val="accent1"/>
              </a:fgClr>
              <a:bgClr>
                <a:schemeClr val="bg1"/>
              </a:bgClr>
            </a:pattFill>
            <a:ln>
              <a:noFill/>
            </a:ln>
            <a:effectLst>
              <a:innerShdw blurRad="114300">
                <a:schemeClr val="accent1"/>
              </a:innerShdw>
            </a:effectLst>
          </c:spPr>
          <c:invertIfNegative val="0"/>
          <c:cat>
            <c:strRef>
              <c:f>Konversi!$C$17:$E$17</c:f>
              <c:strCache>
                <c:ptCount val="3"/>
                <c:pt idx="0">
                  <c:v>Sunflower</c:v>
                </c:pt>
                <c:pt idx="1">
                  <c:v>Jagung</c:v>
                </c:pt>
                <c:pt idx="2">
                  <c:v>Sawit</c:v>
                </c:pt>
              </c:strCache>
            </c:strRef>
          </c:cat>
          <c:val>
            <c:numRef>
              <c:f>Konversi!$C$18:$E$18</c:f>
              <c:numCache>
                <c:formatCode>General</c:formatCode>
                <c:ptCount val="3"/>
                <c:pt idx="0">
                  <c:v>86.148388168826855</c:v>
                </c:pt>
                <c:pt idx="1">
                  <c:v>90.632736516357213</c:v>
                </c:pt>
                <c:pt idx="2">
                  <c:v>93.655281610495365</c:v>
                </c:pt>
              </c:numCache>
            </c:numRef>
          </c:val>
          <c:extLst xmlns:c16r2="http://schemas.microsoft.com/office/drawing/2015/06/chart">
            <c:ext xmlns:c16="http://schemas.microsoft.com/office/drawing/2014/chart" uri="{C3380CC4-5D6E-409C-BE32-E72D297353CC}">
              <c16:uniqueId val="{00000000-AEAB-4E0E-9CC0-E92B6F813396}"/>
            </c:ext>
          </c:extLst>
        </c:ser>
        <c:ser>
          <c:idx val="1"/>
          <c:order val="1"/>
          <c:tx>
            <c:strRef>
              <c:f>Konversi!$B$19</c:f>
              <c:strCache>
                <c:ptCount val="1"/>
                <c:pt idx="0">
                  <c:v>Suhu 300ºC</c:v>
                </c:pt>
              </c:strCache>
            </c:strRef>
          </c:tx>
          <c:spPr>
            <a:pattFill prst="dkVert">
              <a:fgClr>
                <a:schemeClr val="accent2"/>
              </a:fgClr>
              <a:bgClr>
                <a:schemeClr val="bg1"/>
              </a:bgClr>
            </a:pattFill>
            <a:ln>
              <a:noFill/>
            </a:ln>
            <a:effectLst>
              <a:innerShdw blurRad="114300">
                <a:schemeClr val="accent2"/>
              </a:innerShdw>
            </a:effectLst>
          </c:spPr>
          <c:invertIfNegative val="0"/>
          <c:cat>
            <c:strRef>
              <c:f>Konversi!$C$17:$E$17</c:f>
              <c:strCache>
                <c:ptCount val="3"/>
                <c:pt idx="0">
                  <c:v>Sunflower</c:v>
                </c:pt>
                <c:pt idx="1">
                  <c:v>Jagung</c:v>
                </c:pt>
                <c:pt idx="2">
                  <c:v>Sawit</c:v>
                </c:pt>
              </c:strCache>
            </c:strRef>
          </c:cat>
          <c:val>
            <c:numRef>
              <c:f>Konversi!$C$19:$E$19</c:f>
              <c:numCache>
                <c:formatCode>General</c:formatCode>
                <c:ptCount val="3"/>
                <c:pt idx="0">
                  <c:v>89.842084856541476</c:v>
                </c:pt>
                <c:pt idx="1">
                  <c:v>91.37406056587092</c:v>
                </c:pt>
                <c:pt idx="2">
                  <c:v>94.088441529065818</c:v>
                </c:pt>
              </c:numCache>
            </c:numRef>
          </c:val>
          <c:extLst xmlns:c16r2="http://schemas.microsoft.com/office/drawing/2015/06/chart">
            <c:ext xmlns:c16="http://schemas.microsoft.com/office/drawing/2014/chart" uri="{C3380CC4-5D6E-409C-BE32-E72D297353CC}">
              <c16:uniqueId val="{00000001-AEAB-4E0E-9CC0-E92B6F813396}"/>
            </c:ext>
          </c:extLst>
        </c:ser>
        <c:ser>
          <c:idx val="2"/>
          <c:order val="2"/>
          <c:tx>
            <c:strRef>
              <c:f>Konversi!$B$20</c:f>
              <c:strCache>
                <c:ptCount val="1"/>
                <c:pt idx="0">
                  <c:v>Suhu 350ºC</c:v>
                </c:pt>
              </c:strCache>
            </c:strRef>
          </c:tx>
          <c:spPr>
            <a:pattFill prst="wdUpDiag">
              <a:fgClr>
                <a:schemeClr val="bg2"/>
              </a:fgClr>
              <a:bgClr>
                <a:schemeClr val="bg1"/>
              </a:bgClr>
            </a:pattFill>
            <a:ln>
              <a:noFill/>
            </a:ln>
            <a:effectLst>
              <a:innerShdw blurRad="114300">
                <a:schemeClr val="accent3"/>
              </a:innerShdw>
            </a:effectLst>
          </c:spPr>
          <c:invertIfNegative val="0"/>
          <c:cat>
            <c:strRef>
              <c:f>Konversi!$C$17:$E$17</c:f>
              <c:strCache>
                <c:ptCount val="3"/>
                <c:pt idx="0">
                  <c:v>Sunflower</c:v>
                </c:pt>
                <c:pt idx="1">
                  <c:v>Jagung</c:v>
                </c:pt>
                <c:pt idx="2">
                  <c:v>Sawit</c:v>
                </c:pt>
              </c:strCache>
            </c:strRef>
          </c:cat>
          <c:val>
            <c:numRef>
              <c:f>Konversi!$C$20:$E$20</c:f>
              <c:numCache>
                <c:formatCode>General</c:formatCode>
                <c:ptCount val="3"/>
                <c:pt idx="0">
                  <c:v>90.36130497396698</c:v>
                </c:pt>
                <c:pt idx="1">
                  <c:v>92.7514367816092</c:v>
                </c:pt>
                <c:pt idx="2">
                  <c:v>95.580355123275268</c:v>
                </c:pt>
              </c:numCache>
            </c:numRef>
          </c:val>
          <c:extLst xmlns:c16r2="http://schemas.microsoft.com/office/drawing/2015/06/chart">
            <c:ext xmlns:c16="http://schemas.microsoft.com/office/drawing/2014/chart" uri="{C3380CC4-5D6E-409C-BE32-E72D297353CC}">
              <c16:uniqueId val="{00000002-AEAB-4E0E-9CC0-E92B6F813396}"/>
            </c:ext>
          </c:extLst>
        </c:ser>
        <c:dLbls>
          <c:showLegendKey val="0"/>
          <c:showVal val="0"/>
          <c:showCatName val="0"/>
          <c:showSerName val="0"/>
          <c:showPercent val="0"/>
          <c:showBubbleSize val="0"/>
        </c:dLbls>
        <c:gapWidth val="164"/>
        <c:overlap val="-22"/>
        <c:axId val="-947130480"/>
        <c:axId val="-947145168"/>
      </c:barChart>
      <c:catAx>
        <c:axId val="-947130480"/>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947145168"/>
        <c:crosses val="autoZero"/>
        <c:auto val="1"/>
        <c:lblAlgn val="ctr"/>
        <c:lblOffset val="100"/>
        <c:noMultiLvlLbl val="0"/>
      </c:catAx>
      <c:valAx>
        <c:axId val="-947145168"/>
        <c:scaling>
          <c:orientation val="minMax"/>
          <c:max val="100"/>
          <c:min val="0"/>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Konversi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947130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6A56E-4815-44BF-A0BF-FA28808D6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5575</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REVIEWERJTK</cp:lastModifiedBy>
  <cp:revision>5</cp:revision>
  <cp:lastPrinted>2025-10-27T11:07:00Z</cp:lastPrinted>
  <dcterms:created xsi:type="dcterms:W3CDTF">2025-10-27T10:53:00Z</dcterms:created>
  <dcterms:modified xsi:type="dcterms:W3CDTF">2025-10-27T12:30:00Z</dcterms:modified>
</cp:coreProperties>
</file>